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33F" w:rsidRDefault="0067233F" w:rsidP="0067233F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C76AB6" w:rsidRDefault="00C76AB6" w:rsidP="00C76AB6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 "Организация работы</w:t>
      </w:r>
    </w:p>
    <w:p w:rsidR="00C76AB6" w:rsidRDefault="00C76AB6" w:rsidP="00C76AB6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 молодежью в Шабалинском районе Кировской области"</w:t>
      </w:r>
    </w:p>
    <w:p w:rsidR="00C76AB6" w:rsidRDefault="00C76AB6" w:rsidP="00C76AB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6123"/>
      </w:tblGrid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культуры, спорта и молодежи Шабалинского района Кировской области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Администрация Шабалинского района, главы поселений, РУО, женсовет,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КДНиЗП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администрации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района, ЦРБ, ШМУ ДО "ДДТ", ЦЗН, ШМБУК "Районный Дом культуры", ШМКУ "Межпоселенческая централизованная библиотечная система", ШМКУК "Районный краеведческий музей", ШМБУ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Спортшкола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пгт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Ленинское, ШМУ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"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Детская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школа искусств", ОГИБДД МО МВД России "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Котельничский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"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Создание условий для повышения степени интеграции молодых граждан Шабалинского района в социально-экономические, общественно-политические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социокультурные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отношения с целью увеличения их вклада в социально-экономическое развитие района;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создание благоприятных условий для всестороннего развития, успешной социализации и эффективной самореализации молодежи;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поддержка решения жилищной проблемы молодых семей, признанных в установленном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порядке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нуждающимися в улучшении жилищных условий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Формирование и поддержка социальной активности молодежи.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Укрепление системы гражданского и патриотического воспитания молодежи.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Формирование здорового образа жизни молодежи.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творческого потенциала молодежи.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трудового воспитания и занятости молодежи.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Предоставление молодым семьям социальных выплат на приобретение жилья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принимающих участие в добровольческой деятельности, от общего числа молодежи;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количество молодых людей, находящихся в социально опасном положении, вовлеченных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досуговую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деятельность;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вовлеченных в мероприятия гражданско-патриотической направленности, от общего числа молодежи;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вовлеченных в мероприятия творческой направленности, от общего числа молодежи;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вовлеченных в мероприятия, направленные на формирование здорового образа жизни, от общего числа молодежи;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D54DF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Программы не предусматривает разделения на этапы</w:t>
            </w: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Общий объем ассигнований муниципальной программы в 2021 - 202</w:t>
            </w:r>
            <w:r w:rsidR="00D54DFC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гг. составит </w:t>
            </w:r>
            <w:r w:rsidR="00DA7279">
              <w:rPr>
                <w:rFonts w:ascii="Arial" w:hAnsi="Arial" w:cs="Arial"/>
                <w:sz w:val="20"/>
                <w:szCs w:val="20"/>
              </w:rPr>
              <w:t>8674,97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 в том числе по годам: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- 877,81 тыс. руб.;</w:t>
            </w:r>
          </w:p>
          <w:p w:rsidR="00C76AB6" w:rsidRPr="00DA7279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79">
              <w:rPr>
                <w:rFonts w:ascii="Arial" w:hAnsi="Arial" w:cs="Arial"/>
                <w:sz w:val="20"/>
                <w:szCs w:val="20"/>
              </w:rPr>
              <w:t>2022 год - 12</w:t>
            </w:r>
            <w:r w:rsidR="00A76B58" w:rsidRPr="00DA7279">
              <w:rPr>
                <w:rFonts w:ascii="Arial" w:hAnsi="Arial" w:cs="Arial"/>
                <w:sz w:val="20"/>
                <w:szCs w:val="20"/>
              </w:rPr>
              <w:t>14</w:t>
            </w:r>
            <w:r w:rsidRPr="00DA7279">
              <w:rPr>
                <w:rFonts w:ascii="Arial" w:hAnsi="Arial" w:cs="Arial"/>
                <w:sz w:val="20"/>
                <w:szCs w:val="20"/>
              </w:rPr>
              <w:t>,46 тыс. руб.;</w:t>
            </w:r>
          </w:p>
          <w:p w:rsidR="00C76AB6" w:rsidRPr="00DA7279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79">
              <w:rPr>
                <w:rFonts w:ascii="Arial" w:hAnsi="Arial" w:cs="Arial"/>
                <w:sz w:val="20"/>
                <w:szCs w:val="20"/>
              </w:rPr>
              <w:t xml:space="preserve">2023 год </w:t>
            </w:r>
            <w:r w:rsidR="00A76B58" w:rsidRPr="00DA7279">
              <w:rPr>
                <w:rFonts w:ascii="Arial" w:hAnsi="Arial" w:cs="Arial"/>
                <w:sz w:val="20"/>
                <w:szCs w:val="20"/>
              </w:rPr>
              <w:t>–</w:t>
            </w:r>
            <w:r w:rsidRPr="00DA72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0B25" w:rsidRPr="00DA7279">
              <w:rPr>
                <w:rFonts w:ascii="Arial" w:hAnsi="Arial" w:cs="Arial"/>
                <w:sz w:val="20"/>
                <w:szCs w:val="20"/>
              </w:rPr>
              <w:t>2554,78</w:t>
            </w:r>
            <w:r w:rsidRPr="00DA7279"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C76AB6" w:rsidRPr="00DA7279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79">
              <w:rPr>
                <w:rFonts w:ascii="Arial" w:hAnsi="Arial" w:cs="Arial"/>
                <w:sz w:val="20"/>
                <w:szCs w:val="20"/>
              </w:rPr>
              <w:t xml:space="preserve">2024 год </w:t>
            </w:r>
            <w:r w:rsidR="00A76B58" w:rsidRPr="00DA7279">
              <w:rPr>
                <w:rFonts w:ascii="Arial" w:hAnsi="Arial" w:cs="Arial"/>
                <w:sz w:val="20"/>
                <w:szCs w:val="20"/>
              </w:rPr>
              <w:t>–</w:t>
            </w:r>
            <w:r w:rsidRPr="00DA72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279" w:rsidRPr="00DA7279">
              <w:rPr>
                <w:rFonts w:ascii="Arial" w:hAnsi="Arial" w:cs="Arial"/>
                <w:sz w:val="20"/>
                <w:szCs w:val="20"/>
              </w:rPr>
              <w:t>1489,31</w:t>
            </w:r>
            <w:r w:rsidRPr="00DA727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  <w:r w:rsidR="0067233F" w:rsidRPr="00DA7279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7233F" w:rsidRPr="00DA7279" w:rsidRDefault="0067233F" w:rsidP="005D0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7279"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  <w:r w:rsidR="00A76B58" w:rsidRPr="00DA7279">
              <w:rPr>
                <w:rFonts w:ascii="Arial" w:hAnsi="Arial" w:cs="Arial"/>
                <w:sz w:val="20"/>
                <w:szCs w:val="20"/>
              </w:rPr>
              <w:t>–</w:t>
            </w:r>
            <w:r w:rsidRPr="00DA72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279" w:rsidRPr="00DA7279">
              <w:rPr>
                <w:rFonts w:ascii="Arial" w:hAnsi="Arial" w:cs="Arial"/>
                <w:sz w:val="20"/>
                <w:szCs w:val="20"/>
              </w:rPr>
              <w:t>1269,31</w:t>
            </w:r>
            <w:r w:rsidR="00A76B58" w:rsidRPr="00DA7279">
              <w:rPr>
                <w:rFonts w:ascii="Arial" w:hAnsi="Arial" w:cs="Arial"/>
                <w:sz w:val="20"/>
                <w:szCs w:val="20"/>
              </w:rPr>
              <w:t xml:space="preserve"> тыс. руб.</w:t>
            </w:r>
          </w:p>
          <w:p w:rsidR="005D0B25" w:rsidRPr="00DA7279" w:rsidRDefault="005D0B25" w:rsidP="005D0B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A7279">
              <w:rPr>
                <w:rFonts w:ascii="Arial" w:hAnsi="Arial" w:cs="Arial"/>
                <w:b/>
                <w:sz w:val="20"/>
                <w:szCs w:val="20"/>
              </w:rPr>
              <w:t xml:space="preserve">2026 год –  </w:t>
            </w:r>
            <w:r w:rsidR="00DA7279" w:rsidRPr="00DA7279">
              <w:rPr>
                <w:rFonts w:ascii="Arial" w:hAnsi="Arial" w:cs="Arial"/>
                <w:b/>
                <w:sz w:val="20"/>
                <w:szCs w:val="20"/>
              </w:rPr>
              <w:t>1269,31</w:t>
            </w:r>
            <w:r w:rsidRPr="00DA7279">
              <w:rPr>
                <w:rFonts w:ascii="Arial" w:hAnsi="Arial" w:cs="Arial"/>
                <w:b/>
                <w:sz w:val="20"/>
                <w:szCs w:val="20"/>
              </w:rPr>
              <w:t xml:space="preserve">  тыс. руб.</w:t>
            </w:r>
          </w:p>
          <w:p w:rsidR="005D0B25" w:rsidRDefault="005D0B25" w:rsidP="005D0B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AB6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AB6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 202</w:t>
            </w:r>
            <w:r w:rsidR="008159ED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году: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принимающих участие в добровольческой деятельности, от общего числа молодежи - 27%;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доля молодых людей, находящихся в социально опасном положении, вовлеченных в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досуговую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деятельность, - 1,1%;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вовлеченных в мероприятия гражданско-патриотической направленности, от общего числа молодежи - 51%;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вовлеченных в мероприятия творческой направленности, от общего числа молодежи - 70%;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доля молодых людей, вовлеченных в мероприятия, направленные на формирование здорового образа жизни, от общего числа молодежи - 89%;</w:t>
            </w:r>
          </w:p>
          <w:p w:rsidR="00C76AB6" w:rsidRDefault="00C76A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количество молодых семей, улучшивших жилищные условия (в том числе с использованием собственных и заемных средств) при оказании содействия за счет средств федерального бюджета, областного бюджета и местных бюджетов, - 2 семьи ежегодно</w:t>
            </w:r>
          </w:p>
        </w:tc>
      </w:tr>
    </w:tbl>
    <w:p w:rsidR="009F12D0" w:rsidRDefault="009F12D0"/>
    <w:sectPr w:rsidR="009F12D0" w:rsidSect="009F1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AB6"/>
    <w:rsid w:val="003A278F"/>
    <w:rsid w:val="005D0B25"/>
    <w:rsid w:val="0067233F"/>
    <w:rsid w:val="008159ED"/>
    <w:rsid w:val="009F12D0"/>
    <w:rsid w:val="00A76B58"/>
    <w:rsid w:val="00C76AB6"/>
    <w:rsid w:val="00D54DFC"/>
    <w:rsid w:val="00DA7279"/>
    <w:rsid w:val="00DB1E10"/>
    <w:rsid w:val="00E81107"/>
    <w:rsid w:val="00F41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2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6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2022-10-19T08:14:00Z</dcterms:created>
  <dcterms:modified xsi:type="dcterms:W3CDTF">2023-11-17T06:05:00Z</dcterms:modified>
</cp:coreProperties>
</file>