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A7" w:rsidRDefault="002960A7" w:rsidP="002960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2960A7" w:rsidRDefault="002960A7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29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00.00.2022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296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>с. Высокораменское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BCE" w:rsidRPr="001D5BCE" w:rsidRDefault="001D5BCE" w:rsidP="0055691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</w:t>
      </w:r>
      <w:r w:rsidR="002960A7">
        <w:rPr>
          <w:rFonts w:ascii="Times New Roman" w:eastAsia="Times New Roman" w:hAnsi="Times New Roman"/>
          <w:b/>
          <w:sz w:val="28"/>
          <w:szCs w:val="28"/>
          <w:lang w:eastAsia="ru-RU"/>
        </w:rPr>
        <w:t>яемым законом ценностями на 2023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контролю</w:t>
      </w:r>
      <w:r w:rsidRPr="001D5BCE">
        <w:t xml:space="preserve"> 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56911" w:rsidRPr="00556911">
        <w:rPr>
          <w:rFonts w:ascii="Times New Roman" w:eastAsia="Times New Roman" w:hAnsi="Times New Roman"/>
          <w:b/>
          <w:sz w:val="28"/>
          <w:szCs w:val="28"/>
          <w:lang w:eastAsia="ru-RU"/>
        </w:rPr>
        <w:t>сохранностью автомобильных дорог местного значения</w:t>
      </w:r>
      <w:r w:rsidR="00556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="Times New Roman" w:hAnsi="Times New Roman"/>
          <w:b/>
          <w:sz w:val="28"/>
          <w:szCs w:val="28"/>
          <w:lang w:eastAsia="ru-RU"/>
        </w:rPr>
        <w:t>Высокораменского сельского поселения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 Утвердить Программа профилактики рисков причинения вреда (ущерба) охран</w:t>
      </w:r>
      <w:r w:rsidR="002960A7">
        <w:rPr>
          <w:rFonts w:ascii="Times New Roman" w:eastAsia="Times New Roman" w:hAnsi="Times New Roman"/>
          <w:sz w:val="28"/>
          <w:szCs w:val="28"/>
          <w:lang w:eastAsia="ru-RU"/>
        </w:rPr>
        <w:t>яемым законом ценностями на 2023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муниципальному контролю за </w:t>
      </w:r>
      <w:r w:rsidR="00556911" w:rsidRPr="00556911">
        <w:rPr>
          <w:rFonts w:ascii="Times New Roman" w:eastAsia="Times New Roman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102F40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10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2F40" w:rsidRDefault="001D5BCE" w:rsidP="00102F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  <w:r w:rsidR="00102F4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1D5BCE" w:rsidRPr="00102F40" w:rsidRDefault="001D5BCE" w:rsidP="00102F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</w:t>
      </w:r>
      <w:r w:rsidR="00102F4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</w:t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Высокораменского сельского поселения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9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00.00.2022 № 00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 w:rsidR="002960A7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контроля за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 соответствии 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556911" w:rsidRPr="00556911" w:rsidRDefault="00A16CBA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ый 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r w:rsidR="00DD26CF" w:rsidRPr="00DD26CF">
        <w:rPr>
          <w:rFonts w:ascii="Times New Roman" w:eastAsiaTheme="minorEastAsia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принятым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>соблюдением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ab/>
        <w:t>юридическими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ab/>
        <w:t>лицами,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индивидуальными предпринимателями требований, установленных федеральными законами, законами Кировской области, муниципальными правовыми актами: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размещению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</w:t>
      </w:r>
    </w:p>
    <w:p w:rsidR="00B60C8D" w:rsidRPr="000D7989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иных мероприятий, предусмотренных законодательством Российской Федерации, регулирующим отношения в сфере дорожного хозяйства (дал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ее – обязательные требования)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юридических лиц и 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Проводимые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="00007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317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проверенных предприятий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562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предприятий, на которых выявлены нарушения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860060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Pr="00860060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возбужденных дел об 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556911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556911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</w:t>
      </w:r>
      <w:proofErr w:type="spell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М.В.Мишустина</w:t>
      </w:r>
      <w:proofErr w:type="spell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сельского поселения от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15.12.2016  №  92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административного регламента осуществления муниципального контроля </w:t>
      </w:r>
      <w:r w:rsidR="00DD26CF" w:rsidRPr="00DD26CF">
        <w:rPr>
          <w:rFonts w:ascii="Times New Roman" w:eastAsiaTheme="minorEastAsia" w:hAnsi="Times New Roman"/>
          <w:sz w:val="28"/>
          <w:szCs w:val="28"/>
          <w:lang w:eastAsia="ru-RU"/>
        </w:rPr>
        <w:t>за сохранностью автомобильных дорог местного значения Высокораменского сельского поселения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lastRenderedPageBreak/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DD26CF" w:rsidRDefault="00DD26CF"/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2960A7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2023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102F40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102F40">
        <w:rPr>
          <w:rFonts w:ascii="Times New Roman" w:hAnsi="Times New Roman"/>
        </w:rPr>
        <w:t>1. Общие положения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102F40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lastRenderedPageBreak/>
        <w:t>снижение количества нарушений обязательных требований.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ab/>
        <w:t xml:space="preserve">1.4. </w:t>
      </w:r>
      <w:r w:rsidR="002960A7">
        <w:rPr>
          <w:rFonts w:ascii="Times New Roman" w:hAnsi="Times New Roman"/>
        </w:rPr>
        <w:t>Срок реализации программы – 2023</w:t>
      </w:r>
      <w:r w:rsidRPr="00102F40">
        <w:rPr>
          <w:rFonts w:ascii="Times New Roman" w:hAnsi="Times New Roman"/>
        </w:rPr>
        <w:t xml:space="preserve"> год.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ab/>
        <w:t>2. Виды муниципального контроля, осуществляемого администрацией Высокораменского сельского поселения</w:t>
      </w:r>
    </w:p>
    <w:p w:rsidR="001D5BCE" w:rsidRPr="00102F40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102F40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 xml:space="preserve">муниципальный контроль за </w:t>
            </w:r>
            <w:r w:rsidRPr="00102F40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DD2026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102F40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BC" w:rsidRDefault="00F97ABC" w:rsidP="00B60C8D">
      <w:pPr>
        <w:spacing w:after="0" w:line="240" w:lineRule="auto"/>
      </w:pPr>
      <w:r>
        <w:separator/>
      </w:r>
    </w:p>
  </w:endnote>
  <w:endnote w:type="continuationSeparator" w:id="0">
    <w:p w:rsidR="00F97ABC" w:rsidRDefault="00F97ABC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BC" w:rsidRDefault="00F97ABC" w:rsidP="00B60C8D">
      <w:pPr>
        <w:spacing w:after="0" w:line="240" w:lineRule="auto"/>
      </w:pPr>
      <w:r>
        <w:separator/>
      </w:r>
    </w:p>
  </w:footnote>
  <w:footnote w:type="continuationSeparator" w:id="0">
    <w:p w:rsidR="00F97ABC" w:rsidRDefault="00F97ABC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83">
          <w:rPr>
            <w:noProof/>
          </w:rPr>
          <w:t>9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D"/>
    <w:rsid w:val="00007945"/>
    <w:rsid w:val="00102F40"/>
    <w:rsid w:val="001D5BCE"/>
    <w:rsid w:val="00243A11"/>
    <w:rsid w:val="002960A7"/>
    <w:rsid w:val="003D1946"/>
    <w:rsid w:val="0045208D"/>
    <w:rsid w:val="00484FE9"/>
    <w:rsid w:val="00511BC4"/>
    <w:rsid w:val="0055046B"/>
    <w:rsid w:val="00556911"/>
    <w:rsid w:val="00763483"/>
    <w:rsid w:val="007D7831"/>
    <w:rsid w:val="008B3459"/>
    <w:rsid w:val="00963E47"/>
    <w:rsid w:val="00A06379"/>
    <w:rsid w:val="00A16CBA"/>
    <w:rsid w:val="00B60C8D"/>
    <w:rsid w:val="00C24531"/>
    <w:rsid w:val="00D20A67"/>
    <w:rsid w:val="00D22936"/>
    <w:rsid w:val="00D416AF"/>
    <w:rsid w:val="00DD26CF"/>
    <w:rsid w:val="00E143A0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8DE1-73B2-4D0C-A879-B239694F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2021-12-27T04:55:00Z</cp:lastPrinted>
  <dcterms:created xsi:type="dcterms:W3CDTF">2022-11-11T08:46:00Z</dcterms:created>
  <dcterms:modified xsi:type="dcterms:W3CDTF">2022-11-11T08:46:00Z</dcterms:modified>
</cp:coreProperties>
</file>