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CA" w:rsidRDefault="00FB26CA" w:rsidP="00FB26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FB26CA" w:rsidRDefault="00FB26CA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ВЫСОКОРАМЕНКОГО СЕЛЬСКОГО ПОСЕЛЕНИЯ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ШАБАЛИНСКОГО РАЙОНА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КИРОВСКОЙ ОБЛАСТИ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B55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00.00.2022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№  </w:t>
      </w:r>
      <w:r w:rsidR="00B55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</w:t>
      </w:r>
    </w:p>
    <w:p w:rsidR="001D5BCE" w:rsidRPr="00B55FBC" w:rsidRDefault="001D5BCE" w:rsidP="00B55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Cs/>
          <w:sz w:val="24"/>
          <w:szCs w:val="24"/>
          <w:lang w:eastAsia="ru-RU"/>
        </w:rPr>
        <w:t>с. Высокораменское</w:t>
      </w:r>
    </w:p>
    <w:p w:rsidR="001D5BCE" w:rsidRPr="001D5BCE" w:rsidRDefault="001D5BCE" w:rsidP="001D5BC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</w:t>
      </w:r>
      <w:r w:rsidR="00B55FBC">
        <w:rPr>
          <w:rFonts w:ascii="Times New Roman" w:eastAsia="Times New Roman" w:hAnsi="Times New Roman"/>
          <w:b/>
          <w:sz w:val="28"/>
          <w:szCs w:val="28"/>
          <w:lang w:eastAsia="ru-RU"/>
        </w:rPr>
        <w:t>яемым законом ценностями на 2023</w:t>
      </w: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муниципальному контролю</w:t>
      </w:r>
      <w:r w:rsidRPr="001D5BCE">
        <w:t xml:space="preserve"> </w:t>
      </w: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соблюдением правил благоустройства территории 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D5BC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Уставом муниципального образования Высокораменского сельского </w:t>
      </w: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поселение Шабалинского района Кировской области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Высокораменского сельского поселения ПОСТАНОВЛЯЕТ: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1 Утвердить Программа профилактики рисков причинения вреда (ущерба) охран</w:t>
      </w:r>
      <w:r w:rsidR="00B55FBC">
        <w:rPr>
          <w:rFonts w:ascii="Times New Roman" w:eastAsia="Times New Roman" w:hAnsi="Times New Roman"/>
          <w:sz w:val="28"/>
          <w:szCs w:val="28"/>
          <w:lang w:eastAsia="ru-RU"/>
        </w:rPr>
        <w:t>яемым законом ценностями на 2023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муниципальному контролю за соблюдением правил благоустройства территории согласно приложению.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обнародовать путем размещения на информационных стендах и на официальном сайте Шабалинского района.</w:t>
      </w:r>
    </w:p>
    <w:p w:rsidR="001D5BCE" w:rsidRPr="001D5BCE" w:rsidRDefault="001D5BCE" w:rsidP="001D5BCE">
      <w:pPr>
        <w:spacing w:after="7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обнародования.</w:t>
      </w:r>
    </w:p>
    <w:p w:rsidR="005F3964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5F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D5BCE" w:rsidRPr="001D5BCE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BC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Высокораменского </w:t>
      </w:r>
    </w:p>
    <w:p w:rsidR="001D5BCE" w:rsidRPr="001D5BCE" w:rsidRDefault="001D5BCE" w:rsidP="001D5BCE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pacing w:val="-3"/>
          <w:sz w:val="36"/>
          <w:szCs w:val="36"/>
          <w:lang w:eastAsia="ru-RU"/>
        </w:rPr>
      </w:pP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1D5B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С.С. Добровольский</w:t>
      </w:r>
    </w:p>
    <w:p w:rsidR="001D5BCE" w:rsidRDefault="001D5BCE" w:rsidP="00B60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BC" w:rsidRDefault="00B55FBC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BC" w:rsidRDefault="00B55FBC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BC" w:rsidRDefault="00B55FBC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BC" w:rsidRDefault="00B55FBC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3964" w:rsidRPr="005F3964" w:rsidRDefault="005F3964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5F3964" w:rsidRPr="005F3964" w:rsidRDefault="005F3964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F3964" w:rsidRPr="005F3964" w:rsidRDefault="005F3964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Высокораменского сельского поселения</w:t>
      </w:r>
    </w:p>
    <w:p w:rsidR="00B60C8D" w:rsidRDefault="00B55FBC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00.00.2022 №00</w:t>
      </w:r>
    </w:p>
    <w:p w:rsidR="00B60C8D" w:rsidRPr="00C8308C" w:rsidRDefault="00B60C8D" w:rsidP="00B6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C8D" w:rsidRPr="00C8308C" w:rsidRDefault="00B60C8D" w:rsidP="00B60C8D">
      <w:pPr>
        <w:spacing w:after="0"/>
        <w:ind w:left="567"/>
        <w:jc w:val="center"/>
        <w:rPr>
          <w:rFonts w:ascii="Times New Roman" w:hAnsi="Times New Roman"/>
          <w:sz w:val="28"/>
          <w:szCs w:val="24"/>
        </w:rPr>
      </w:pPr>
      <w:r w:rsidRPr="00E3638C">
        <w:rPr>
          <w:rFonts w:ascii="Times New Roman" w:hAnsi="Times New Roman"/>
          <w:sz w:val="28"/>
          <w:szCs w:val="24"/>
        </w:rPr>
        <w:t xml:space="preserve">Программа профилактики рисков причинения вреда (ущерба) охраняемым законом ценностями </w:t>
      </w:r>
      <w:r w:rsidRPr="00C8308C">
        <w:rPr>
          <w:rFonts w:ascii="Times New Roman" w:hAnsi="Times New Roman"/>
          <w:sz w:val="28"/>
          <w:szCs w:val="24"/>
        </w:rPr>
        <w:t>на 20</w:t>
      </w:r>
      <w:r w:rsidR="00B55FBC">
        <w:rPr>
          <w:rFonts w:ascii="Times New Roman" w:hAnsi="Times New Roman"/>
          <w:sz w:val="28"/>
          <w:szCs w:val="24"/>
        </w:rPr>
        <w:t>23</w:t>
      </w:r>
      <w:r>
        <w:rPr>
          <w:rFonts w:ascii="Times New Roman" w:hAnsi="Times New Roman"/>
          <w:sz w:val="28"/>
          <w:szCs w:val="24"/>
        </w:rPr>
        <w:t xml:space="preserve"> год</w:t>
      </w:r>
      <w:r w:rsidRPr="00C8308C">
        <w:rPr>
          <w:rFonts w:ascii="Times New Roman" w:hAnsi="Times New Roman"/>
          <w:sz w:val="28"/>
          <w:szCs w:val="24"/>
        </w:rPr>
        <w:t xml:space="preserve"> </w:t>
      </w:r>
    </w:p>
    <w:p w:rsidR="005F3964" w:rsidRDefault="005F3964" w:rsidP="00B60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8D" w:rsidRPr="00C8308C" w:rsidRDefault="00B60C8D" w:rsidP="00B60C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 xml:space="preserve"> </w:t>
      </w:r>
    </w:p>
    <w:p w:rsidR="00B60C8D" w:rsidRDefault="00B60C8D" w:rsidP="00B60C8D">
      <w:pPr>
        <w:pStyle w:val="3"/>
        <w:spacing w:before="129" w:line="295" w:lineRule="exact"/>
        <w:ind w:left="0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Общие положения</w:t>
      </w:r>
    </w:p>
    <w:p w:rsidR="00B60C8D" w:rsidRPr="001D4995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  <w:lang w:val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Настоящая Программа профилакти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ки рисков причинения вреда (ущерба) охраняемым законом ценностями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направленн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предупреждение нарушений обязательных требований, соблюдение которых оценивается 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>Администрацией Высокораменского сельского поселения Шабалинского района Кировской области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проведении мероприятий по контролю в рамках осуществления </w:t>
      </w:r>
      <w:r w:rsidR="00A16CBA" w:rsidRPr="00A16CBA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 за соблюдением правил благоустройства на территории муниципального образования Высокораменское сельское поселение Шабалинского района Кировской области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 20</w:t>
      </w:r>
      <w:r w:rsidR="00B55FBC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(далее – Программа), разработа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в соответствии с положениями Федерального закона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июля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48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-ФЗ «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государственном контроле (надзоре)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и муниципальном контроле в Российской Федерации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Федеральный закон № 248-ФЗ)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ем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от 25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июня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1D4995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624022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C8308C">
        <w:rPr>
          <w:sz w:val="28"/>
        </w:rPr>
        <w:t xml:space="preserve">Раздел 1. </w:t>
      </w:r>
      <w:r w:rsidRPr="00874BE3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0C8D" w:rsidRPr="00C8308C" w:rsidRDefault="00B60C8D" w:rsidP="00B60C8D">
      <w:pPr>
        <w:spacing w:after="0"/>
        <w:ind w:right="467" w:firstLine="567"/>
        <w:jc w:val="both"/>
        <w:rPr>
          <w:i/>
          <w:sz w:val="26"/>
        </w:rPr>
      </w:pPr>
    </w:p>
    <w:p w:rsidR="00B60C8D" w:rsidRDefault="00B60C8D" w:rsidP="00B60C8D">
      <w:pPr>
        <w:spacing w:after="0"/>
        <w:ind w:firstLine="709"/>
        <w:jc w:val="center"/>
        <w:rPr>
          <w:rFonts w:ascii="Times New Roman" w:hAnsi="Times New Roman"/>
          <w:i/>
          <w:sz w:val="28"/>
        </w:rPr>
      </w:pPr>
      <w:r w:rsidRPr="00E3638C">
        <w:rPr>
          <w:rFonts w:ascii="Times New Roman" w:hAnsi="Times New Roman"/>
          <w:i/>
          <w:sz w:val="28"/>
        </w:rPr>
        <w:t>Анализ текущего состояния осуществления вида контроля</w:t>
      </w:r>
    </w:p>
    <w:p w:rsidR="00B60C8D" w:rsidRPr="00E3638C" w:rsidRDefault="00B60C8D" w:rsidP="00B60C8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60C8D" w:rsidRPr="000D7989" w:rsidRDefault="00A16CBA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ый контроль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соблюдением правил благоустройства на территории муниципального образования Высокораменское сельское поселение Шабалинского района Кировской области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Муниципальный контроль)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положениями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Устав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муниципального образования Высокораменское сельское поселение Шабалинского района Кировской области, принятым решением Высокораменской сел</w:t>
      </w:r>
      <w:r w:rsidR="00D20A67">
        <w:rPr>
          <w:rFonts w:ascii="Times New Roman" w:eastAsiaTheme="minorEastAsia" w:hAnsi="Times New Roman"/>
          <w:sz w:val="28"/>
          <w:szCs w:val="28"/>
          <w:lang w:eastAsia="ru-RU"/>
        </w:rPr>
        <w:t xml:space="preserve">ьской Думы от 07.12.2005 № 3/25,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Правилами благоустройства территорий муниципальном образовании Высокораменское сельское поселение Шабалинского района Кировской области, утвержденными решением Высокораменской сельской Думы от 21.03.2013 № 4/24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соблюдением обязательных требований 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установленных в Правилах </w:t>
      </w:r>
      <w:r w:rsidR="00243A11" w:rsidRPr="00A16CBA">
        <w:rPr>
          <w:rFonts w:ascii="Times New Roman" w:eastAsiaTheme="minorEastAsia" w:hAnsi="Times New Roman"/>
          <w:sz w:val="28"/>
          <w:szCs w:val="28"/>
          <w:lang w:eastAsia="ru-RU"/>
        </w:rPr>
        <w:t>благоустройства территорий муниципальном образовании Высокораменское сельское поселение Шабалинского района Кировской области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43A11" w:rsidRPr="000D7989" w:rsidRDefault="0055046B" w:rsidP="00243A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распространяется на деятельность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физических лиц,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>юридических лиц и индивидуальных предпринимателей,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имеющих на праве собственности или на иных правообладателей </w:t>
      </w:r>
      <w:r w:rsidRPr="00243A11">
        <w:rPr>
          <w:rFonts w:ascii="Times New Roman" w:eastAsiaTheme="minorEastAsia" w:hAnsi="Times New Roman"/>
          <w:sz w:val="28"/>
          <w:szCs w:val="28"/>
          <w:lang w:eastAsia="ru-RU"/>
        </w:rPr>
        <w:t>земельных участков, а в случае, если границы земельных участков не определены в соответствии с действующим законодательством, на территориях земельных участков, на которых расположены здания,  строения, а также в границах прилегающей территории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0D7989" w:rsidRDefault="0055046B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администрацией Высокораменского сельского поселения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Проводимые в рамках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ежегодно характеризуются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значительным количеством нарушений установленных требований и недобросовестных подконтрольных субъектов.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результатах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2019-2020</w:t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гг.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>представлены в таблице 1.</w:t>
      </w:r>
    </w:p>
    <w:p w:rsidR="00B60C8D" w:rsidRPr="00BC4C2F" w:rsidRDefault="00B60C8D" w:rsidP="00B60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4C2F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3"/>
        <w:tblW w:w="7797" w:type="dxa"/>
        <w:tblInd w:w="-5" w:type="dxa"/>
        <w:tblLook w:val="04A0" w:firstRow="1" w:lastRow="0" w:firstColumn="1" w:lastColumn="0" w:noHBand="0" w:noVBand="1"/>
      </w:tblPr>
      <w:tblGrid>
        <w:gridCol w:w="4820"/>
        <w:gridCol w:w="1418"/>
        <w:gridCol w:w="1559"/>
      </w:tblGrid>
      <w:tr w:rsidR="00007945" w:rsidRPr="00BC4C2F" w:rsidTr="00007945">
        <w:trPr>
          <w:trHeight w:val="281"/>
        </w:trPr>
        <w:tc>
          <w:tcPr>
            <w:tcW w:w="4820" w:type="dxa"/>
          </w:tcPr>
          <w:p w:rsidR="00007945" w:rsidRPr="00BC4C2F" w:rsidRDefault="00007945" w:rsidP="00562466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418" w:type="dxa"/>
          </w:tcPr>
          <w:p w:rsidR="00007945" w:rsidRPr="00BC4C2F" w:rsidRDefault="00007945" w:rsidP="0056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007945" w:rsidRPr="00BC4C2F" w:rsidRDefault="00007945" w:rsidP="0056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</w:tr>
      <w:tr w:rsidR="00007945" w:rsidRPr="00BC4C2F" w:rsidTr="00007945">
        <w:trPr>
          <w:trHeight w:val="345"/>
        </w:trPr>
        <w:tc>
          <w:tcPr>
            <w:tcW w:w="4820" w:type="dxa"/>
            <w:vAlign w:val="center"/>
          </w:tcPr>
          <w:p w:rsidR="00007945" w:rsidRPr="00BC4C2F" w:rsidRDefault="00007945" w:rsidP="00007945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ество проведенных проверок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651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проверок, при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оторых выявлены нарушения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(12,5%)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317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проверенных предприятий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562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предприятий, на которых выявлены нарушения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860060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</w:t>
            </w:r>
            <w:r w:rsidRPr="00860060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558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 об устранении нарушений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551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Количество возбужденных дел об административных правонарушениях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614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 наложенных</w:t>
            </w:r>
            <w:r w:rsidR="00A06379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административных штрафов (</w:t>
            </w: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руб.)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Pr="00D76F87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418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Устранение нарушений выявленных в предписании в срок</w:t>
            </w:r>
          </w:p>
        </w:tc>
        <w:tc>
          <w:tcPr>
            <w:tcW w:w="1418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поручением Председателя Правительства Российской Федерации М.В.Мишустина от 18 марта 2020 г. № ММ-П36-1945 до 1 мая 2020 г. контрольно-надзорные мероприятия не проводились, а в соответствии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с постановлением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предпринимателей» введен мораторий на плановые проверки до конца 2020 года.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60C8D" w:rsidRPr="00E3638C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3638C">
        <w:rPr>
          <w:rFonts w:ascii="Times New Roman" w:eastAsiaTheme="minorEastAsia" w:hAnsi="Times New Roman"/>
          <w:i/>
          <w:sz w:val="28"/>
          <w:szCs w:val="28"/>
          <w:lang w:eastAsia="ru-RU"/>
        </w:rPr>
        <w:t>Описание текущего развития профилактической деятельности контрольного (надзорного) органа.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Ежегодно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администрации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размещается обзор результатов правоприменительной практики контрольно-надзорной деятельности в подконтрольной сфере.</w:t>
      </w: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официальном сайте администрации поселения размещен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перечней нормативных правовых актов (их отдельных положений), содержащих обязательные требования, оценка соблюдения которых осуществляется в рамках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контроля, который утвержден 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Высокораменского сельского поселения от 11.09.2018 № 59 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Высокораменское сельское поселение Шабалинского района Кировской области»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B60C8D" w:rsidRDefault="00B60C8D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76F8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D76F8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D76F8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D76F8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B60C8D" w:rsidRPr="00765F7B" w:rsidRDefault="00B60C8D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н</w:t>
      </w:r>
      <w:r w:rsidRPr="00765F7B">
        <w:rPr>
          <w:rFonts w:ascii="Times New Roman" w:eastAsia="Times New Roman" w:hAnsi="Times New Roman"/>
          <w:sz w:val="28"/>
          <w:szCs w:val="28"/>
          <w:lang w:val="x-none" w:eastAsia="x-none"/>
        </w:rPr>
        <w:t>арушение прав и законных интересов гр</w:t>
      </w:r>
      <w:r w:rsidR="00C2453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аждан </w:t>
      </w:r>
      <w:r w:rsidR="00C24531">
        <w:rPr>
          <w:rFonts w:ascii="Times New Roman" w:eastAsia="Times New Roman" w:hAnsi="Times New Roman"/>
          <w:sz w:val="28"/>
          <w:szCs w:val="28"/>
          <w:lang w:eastAsia="x-none"/>
        </w:rPr>
        <w:t xml:space="preserve">в сфере установления </w:t>
      </w:r>
      <w:r w:rsidR="00C24531">
        <w:rPr>
          <w:rFonts w:ascii="Times New Roman" w:eastAsia="Times New Roman" w:hAnsi="Times New Roman"/>
          <w:sz w:val="28"/>
          <w:szCs w:val="28"/>
          <w:lang w:val="x-none" w:eastAsia="x-none"/>
        </w:rPr>
        <w:t>общих требований и параметров</w:t>
      </w:r>
      <w:r w:rsidR="00C24531" w:rsidRPr="00C2453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для создания безопасной, удобной и </w:t>
      </w:r>
      <w:r w:rsidR="00C24531" w:rsidRPr="00C24531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привлекательной среды обитания человека на территории муниципального образования Высокораменское сельское поселение</w:t>
      </w:r>
      <w:r w:rsidRPr="00765F7B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предупреждения нарушений обязательных требований проведены профилактические мероприятия, предусмотренные планом-графиком, установленным Программой </w:t>
      </w:r>
      <w:r w:rsidR="00C2453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профилактики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на 2021 год.</w:t>
      </w:r>
    </w:p>
    <w:p w:rsidR="00B60C8D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</w:rPr>
      </w:pPr>
    </w:p>
    <w:p w:rsidR="00B60C8D" w:rsidRPr="009336DF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2. Цели и задачи </w:t>
      </w:r>
      <w:r w:rsidRPr="00626400">
        <w:rPr>
          <w:sz w:val="28"/>
        </w:rPr>
        <w:t>реализации программы профилактики</w:t>
      </w:r>
    </w:p>
    <w:p w:rsidR="00B60C8D" w:rsidRPr="00C8308C" w:rsidRDefault="00B60C8D" w:rsidP="00B60C8D">
      <w:pPr>
        <w:pStyle w:val="3"/>
        <w:spacing w:before="1" w:line="295" w:lineRule="exact"/>
        <w:ind w:left="0" w:firstLine="567"/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прозрачности деятельности по осуществлению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предупреждение и сокращение случаев нарушения подконтрольными субъектами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снижение издержек и административной нагрузки на подконтрольные субъекты;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разъяснение подконтрольным субъектам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мотивации к добросовестному поведению, и как следствие, снижение уровня ущерба охраняемым законом ценностям. </w:t>
      </w:r>
    </w:p>
    <w:p w:rsidR="00B60C8D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формирование единого понимания обязательных требований 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подконтрольной сфере и порядка их исполнения;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инвентаризация состава и особенностей подконтрольных субъектов (объектов), оценка состояния подконтрольной сферы;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B60C8D" w:rsidRPr="006435B0" w:rsidRDefault="00B60C8D" w:rsidP="00B60C8D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C8308C">
        <w:rPr>
          <w:rFonts w:ascii="Times New Roman" w:hAnsi="Times New Roman"/>
          <w:sz w:val="2"/>
          <w:szCs w:val="24"/>
        </w:rPr>
        <w:fldChar w:fldCharType="begin"/>
      </w:r>
      <w:r w:rsidRPr="00C8308C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C8308C">
        <w:rPr>
          <w:rFonts w:ascii="Times New Roman" w:hAnsi="Times New Roman"/>
          <w:sz w:val="2"/>
          <w:szCs w:val="24"/>
        </w:rPr>
        <w:instrText xml:space="preserve"> </w:instrText>
      </w:r>
      <w:r w:rsidRPr="00C8308C">
        <w:rPr>
          <w:rFonts w:ascii="Times New Roman" w:hAnsi="Times New Roman"/>
          <w:sz w:val="2"/>
          <w:szCs w:val="24"/>
        </w:rPr>
        <w:fldChar w:fldCharType="separate"/>
      </w:r>
      <w:r w:rsidRPr="00C8308C">
        <w:rPr>
          <w:noProof/>
          <w:lang w:eastAsia="ru-RU"/>
        </w:rPr>
        <w:t xml:space="preserve"> </w:t>
      </w:r>
      <w:r w:rsidRPr="00C8308C"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</w:p>
    <w:p w:rsidR="00B60C8D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</w:p>
    <w:p w:rsidR="00B60C8D" w:rsidRPr="00624022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3. </w:t>
      </w:r>
      <w:r w:rsidRPr="009866A9">
        <w:rPr>
          <w:sz w:val="28"/>
        </w:rPr>
        <w:t>Перечень профилактических мероприятий, сроки (периодичность) их проведения</w:t>
      </w:r>
    </w:p>
    <w:p w:rsidR="00B60C8D" w:rsidRPr="00C8308C" w:rsidRDefault="00B60C8D" w:rsidP="00B60C8D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профилактических мероприятий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Информирование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Информирование контролируемых лиц и иных заинтересованных лиц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вопросам соблюдения обязательных требований проводится в соответствии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соответствующих сведений на официальном сайте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администрации поселения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«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Интернет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средствах массовой информации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в иных формах.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sz w:val="28"/>
          <w:szCs w:val="28"/>
          <w:lang w:eastAsia="ru-RU"/>
        </w:rPr>
        <w:t>А</w:t>
      </w:r>
      <w:r>
        <w:rPr>
          <w:rFonts w:ascii="yandex-sans" w:eastAsia="Times New Roman" w:hAnsi="yandex-sans"/>
          <w:sz w:val="28"/>
          <w:szCs w:val="28"/>
          <w:lang w:eastAsia="ru-RU"/>
        </w:rPr>
        <w:t>дминистрация поселения</w:t>
      </w:r>
      <w:r w:rsidR="00B60C8D" w:rsidRPr="009336DF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актуальном состоянии на своем официальном сайте </w:t>
      </w:r>
      <w:r w:rsidR="00B60C8D"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информационно-телекоммуникационной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«Интернет» следующую информацию:</w:t>
      </w:r>
    </w:p>
    <w:p w:rsidR="00B60C8D" w:rsidRPr="009866A9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AB15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,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 сроках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порядк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 их вступления в силу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мероприятий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программу профилактики рисков причинения вреда и план п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роведения плановых контрольных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мероприятий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(при проведении таких мероприятий).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(надзорного)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действий (бездействия) его должностных лиц.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содержащ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Объявление предостережения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 учет объявленных предостережений о недопустимости нарушения обязательных требований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F3964" w:rsidRPr="005F3964" w:rsidRDefault="005F3964" w:rsidP="00B60C8D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</w:p>
    <w:p w:rsidR="00B60C8D" w:rsidRPr="002545BE" w:rsidRDefault="00B60C8D" w:rsidP="00B60C8D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4. </w:t>
      </w:r>
      <w:r w:rsidRPr="00701EB7">
        <w:rPr>
          <w:sz w:val="28"/>
        </w:rPr>
        <w:t>Показатели результативности и эффективности программы профилактики</w:t>
      </w:r>
    </w:p>
    <w:p w:rsidR="00B60C8D" w:rsidRPr="00C8308C" w:rsidRDefault="00B60C8D" w:rsidP="00B60C8D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Система мониторинга и оценки уровня развития Программы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и эффективности и результативности профилактичес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ких мероприятий включает в себя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отчетный период.</w:t>
      </w: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администрацией поселения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самостоятельно и должны учитываться при определении ключевых показателей эффективности и результативности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8B3459" w:rsidRDefault="008B3459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FF30BB" w:rsidRDefault="00FF30BB"/>
    <w:p w:rsidR="005F3964" w:rsidRDefault="005F3964"/>
    <w:p w:rsidR="005F3964" w:rsidRDefault="005F3964"/>
    <w:p w:rsidR="005F3964" w:rsidRDefault="005F3964"/>
    <w:p w:rsidR="005F3964" w:rsidRDefault="005F3964"/>
    <w:p w:rsidR="00FF30BB" w:rsidRDefault="00FF30BB"/>
    <w:p w:rsidR="001D5BCE" w:rsidRDefault="001D5BCE" w:rsidP="001D5BCE">
      <w:pPr>
        <w:pStyle w:val="ConsPlusNormal"/>
        <w:ind w:firstLine="0"/>
        <w:jc w:val="right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Приложение 1</w:t>
      </w:r>
    </w:p>
    <w:p w:rsidR="001D5BCE" w:rsidRPr="00DD2026" w:rsidRDefault="001D5BCE" w:rsidP="001D5BC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D2026">
        <w:rPr>
          <w:rFonts w:ascii="Times New Roman" w:hAnsi="Times New Roman" w:cs="Times New Roman"/>
          <w:b/>
          <w:caps/>
          <w:sz w:val="22"/>
          <w:szCs w:val="22"/>
        </w:rPr>
        <w:t>ПРОГРАММА</w:t>
      </w:r>
    </w:p>
    <w:p w:rsidR="001D5BCE" w:rsidRPr="00DD2026" w:rsidRDefault="001D5BCE" w:rsidP="001D5BCE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026">
        <w:rPr>
          <w:rFonts w:ascii="Times New Roman" w:hAnsi="Times New Roman" w:cs="Times New Roman"/>
          <w:b/>
          <w:sz w:val="22"/>
          <w:szCs w:val="22"/>
        </w:rPr>
        <w:t>профилактики нарушений обязательных требований в сфере</w:t>
      </w:r>
      <w:r w:rsidR="00B55FBC">
        <w:rPr>
          <w:rFonts w:ascii="Times New Roman" w:hAnsi="Times New Roman" w:cs="Times New Roman"/>
          <w:b/>
          <w:sz w:val="22"/>
          <w:szCs w:val="22"/>
        </w:rPr>
        <w:t xml:space="preserve"> муниципального контроля на 2023</w:t>
      </w:r>
      <w:r w:rsidRPr="00DD2026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1D5BCE" w:rsidRPr="005F3964" w:rsidRDefault="001D5BCE" w:rsidP="001D5BCE">
      <w:pPr>
        <w:spacing w:line="360" w:lineRule="auto"/>
        <w:jc w:val="center"/>
        <w:rPr>
          <w:rFonts w:ascii="Times New Roman" w:hAnsi="Times New Roman"/>
        </w:rPr>
      </w:pPr>
      <w:r w:rsidRPr="005F3964">
        <w:rPr>
          <w:rFonts w:ascii="Times New Roman" w:hAnsi="Times New Roman"/>
        </w:rPr>
        <w:t>1. Общие положения</w:t>
      </w:r>
    </w:p>
    <w:p w:rsidR="001D5BCE" w:rsidRPr="005F3964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5F3964">
        <w:rPr>
          <w:rFonts w:ascii="Times New Roman" w:hAnsi="Times New Roman"/>
        </w:rPr>
        <w:tab/>
        <w:t>1.1. 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Высокораменского сельского поселения муниципального контроля по профилактике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Кировской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1.2. Цели Программы: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повышение прозрачности контрольной деятельности органа муниципального контроля;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разъяснение подконтрольным субъектам обязательных требований;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нарушению обязательных требований;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снижение административной нагрузки на подконтрольные субъекты;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создание мотивации к добросовестному поведению подконтрольных субъектов;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снижение уровня ущерба охраняемым законом ценностям.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1.3. Задачи Программы: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1D5BCE" w:rsidRPr="005F3964" w:rsidRDefault="001D5BCE" w:rsidP="001D5BC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F3964">
        <w:rPr>
          <w:rFonts w:ascii="Times New Roman" w:hAnsi="Times New Roman"/>
        </w:rPr>
        <w:t>снижение количества нарушений обязательных требований.</w:t>
      </w:r>
    </w:p>
    <w:p w:rsidR="001D5BCE" w:rsidRPr="005F3964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5F3964">
        <w:rPr>
          <w:rFonts w:ascii="Times New Roman" w:hAnsi="Times New Roman"/>
        </w:rPr>
        <w:lastRenderedPageBreak/>
        <w:tab/>
        <w:t xml:space="preserve">1.4. </w:t>
      </w:r>
      <w:r w:rsidR="00B55FBC">
        <w:rPr>
          <w:rFonts w:ascii="Times New Roman" w:hAnsi="Times New Roman"/>
        </w:rPr>
        <w:t>Срок реализации программы – 2023</w:t>
      </w:r>
      <w:r w:rsidRPr="005F3964">
        <w:rPr>
          <w:rFonts w:ascii="Times New Roman" w:hAnsi="Times New Roman"/>
        </w:rPr>
        <w:t xml:space="preserve"> год.</w:t>
      </w:r>
    </w:p>
    <w:p w:rsidR="001D5BCE" w:rsidRPr="005F3964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5F3964">
        <w:rPr>
          <w:rFonts w:ascii="Times New Roman" w:hAnsi="Times New Roman"/>
        </w:rPr>
        <w:tab/>
        <w:t>2. Виды муниципального контроля, осуществляемого администрацией Высокораменского сельского поселения</w:t>
      </w:r>
    </w:p>
    <w:p w:rsidR="001D5BCE" w:rsidRPr="005F3964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512"/>
      </w:tblGrid>
      <w:tr w:rsidR="001D5BCE" w:rsidRPr="005F3964" w:rsidTr="00BB30E7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Наименование вида</w:t>
            </w:r>
          </w:p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уполномоченное </w:t>
            </w:r>
          </w:p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на осуществление муниципального контроля в соответствующей сфере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5F3964" w:rsidRDefault="001D5BCE" w:rsidP="00BB3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964">
              <w:rPr>
                <w:rFonts w:ascii="Times New Roman" w:hAnsi="Times New Roman"/>
              </w:rPr>
              <w:t xml:space="preserve">муниципальный земельный контроль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Администрация Шабалинского района</w:t>
            </w:r>
          </w:p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соглашению сторон)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964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964">
              <w:rPr>
                <w:rFonts w:ascii="Times New Roman" w:hAnsi="Times New Roman"/>
              </w:rPr>
              <w:t>муниципальный контроль за сохранностью автомобильных дорог местного значения в границах населенных пунктов Высокораменского сельского поселения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поселения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964">
              <w:rPr>
                <w:rFonts w:ascii="Times New Roman" w:hAnsi="Times New Roman"/>
              </w:rPr>
              <w:t xml:space="preserve">муниципальный контроль за </w:t>
            </w:r>
            <w:r w:rsidRPr="005F3964">
              <w:rPr>
                <w:rFonts w:ascii="Times New Roman" w:hAnsi="Times New Roman"/>
                <w:color w:val="000000"/>
              </w:rPr>
              <w:t>соблюдением правил благоустройства на территории муниципального образования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</w:tbl>
    <w:p w:rsidR="001D5BCE" w:rsidRPr="005F3964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3. Мероприятия по профилактике нарушений, реализуемые администрацией поселения</w:t>
      </w:r>
    </w:p>
    <w:p w:rsidR="001D5BCE" w:rsidRPr="005F3964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694"/>
      </w:tblGrid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Размещение и поддержание в актуальном состоянии на официальном сайте поселения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МПА по соблюдению обязательных требований, в том числе посредством 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разработки и опубликования руководств по соблюдению обязательных требований, проведения разъяснительной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на собраниях, единых информационных днях в поселении и иными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Консультирование юридических лиц, индивидуальных предпринимателей в ходе проведения приема подконтрольных субъектов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комментариев о содержании новых муниципальных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нарушений в соответствии с частями 5 - 7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 мере появления оснований, предусмот-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ренных законода-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</w:tbl>
    <w:p w:rsidR="001D5BCE" w:rsidRPr="00DD2026" w:rsidRDefault="001D5BCE" w:rsidP="001D5BCE">
      <w:pPr>
        <w:pStyle w:val="ConsPlusNormal"/>
        <w:ind w:firstLine="540"/>
        <w:jc w:val="both"/>
        <w:rPr>
          <w:sz w:val="22"/>
          <w:szCs w:val="22"/>
        </w:rPr>
      </w:pPr>
    </w:p>
    <w:p w:rsidR="001D5BCE" w:rsidRDefault="001D5BCE"/>
    <w:sectPr w:rsidR="001D5BCE" w:rsidSect="005F3964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D7" w:rsidRDefault="000C04D7" w:rsidP="00B60C8D">
      <w:pPr>
        <w:spacing w:after="0" w:line="240" w:lineRule="auto"/>
      </w:pPr>
      <w:r>
        <w:separator/>
      </w:r>
    </w:p>
  </w:endnote>
  <w:endnote w:type="continuationSeparator" w:id="0">
    <w:p w:rsidR="000C04D7" w:rsidRDefault="000C04D7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D7" w:rsidRDefault="000C04D7" w:rsidP="00B60C8D">
      <w:pPr>
        <w:spacing w:after="0" w:line="240" w:lineRule="auto"/>
      </w:pPr>
      <w:r>
        <w:separator/>
      </w:r>
    </w:p>
  </w:footnote>
  <w:footnote w:type="continuationSeparator" w:id="0">
    <w:p w:rsidR="000C04D7" w:rsidRDefault="000C04D7" w:rsidP="00B6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72924"/>
      <w:docPartObj>
        <w:docPartGallery w:val="Page Numbers (Top of Page)"/>
        <w:docPartUnique/>
      </w:docPartObj>
    </w:sdtPr>
    <w:sdtEndPr/>
    <w:sdtContent>
      <w:p w:rsidR="00B60C8D" w:rsidRDefault="00B60C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CA">
          <w:rPr>
            <w:noProof/>
          </w:rPr>
          <w:t>4</w:t>
        </w:r>
        <w:r>
          <w:fldChar w:fldCharType="end"/>
        </w:r>
      </w:p>
    </w:sdtContent>
  </w:sdt>
  <w:p w:rsidR="00B60C8D" w:rsidRDefault="00B60C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D"/>
    <w:rsid w:val="00007945"/>
    <w:rsid w:val="000C04D7"/>
    <w:rsid w:val="001D5BCE"/>
    <w:rsid w:val="00243A11"/>
    <w:rsid w:val="003C7C12"/>
    <w:rsid w:val="003D1946"/>
    <w:rsid w:val="003D459F"/>
    <w:rsid w:val="00484FE9"/>
    <w:rsid w:val="00511BC4"/>
    <w:rsid w:val="0055046B"/>
    <w:rsid w:val="005F3964"/>
    <w:rsid w:val="00640971"/>
    <w:rsid w:val="007162E2"/>
    <w:rsid w:val="008B3459"/>
    <w:rsid w:val="00963E47"/>
    <w:rsid w:val="00A06379"/>
    <w:rsid w:val="00A16CBA"/>
    <w:rsid w:val="00AE0278"/>
    <w:rsid w:val="00B55FBC"/>
    <w:rsid w:val="00B60C8D"/>
    <w:rsid w:val="00C24531"/>
    <w:rsid w:val="00D20A67"/>
    <w:rsid w:val="00D416AF"/>
    <w:rsid w:val="00E143A0"/>
    <w:rsid w:val="00FB26CA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10</cp:revision>
  <cp:lastPrinted>2021-12-27T05:15:00Z</cp:lastPrinted>
  <dcterms:created xsi:type="dcterms:W3CDTF">2021-12-08T11:06:00Z</dcterms:created>
  <dcterms:modified xsi:type="dcterms:W3CDTF">2022-11-11T08:13:00Z</dcterms:modified>
</cp:coreProperties>
</file>