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BC" w:rsidRPr="000B4B29" w:rsidRDefault="00E676BC" w:rsidP="00B339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Исполнение консолидированного бюджета </w:t>
      </w:r>
      <w:proofErr w:type="spellStart"/>
      <w:r w:rsidRPr="007713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Шабалинского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713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январь-</w:t>
      </w:r>
      <w:r w:rsidR="00BE0B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март</w:t>
      </w:r>
      <w:r w:rsidR="002E6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BE0B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0B4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</w:p>
    <w:p w:rsidR="00E676BC" w:rsidRPr="000B4B29" w:rsidRDefault="00E676BC" w:rsidP="00E6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ДОХОДЫ </w:t>
      </w:r>
    </w:p>
    <w:p w:rsidR="00E676BC" w:rsidRDefault="00E676BC" w:rsidP="00E6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Доходная часть консолидированного бюджета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учетом безвозмездных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поступлений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областного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бюджета за </w:t>
      </w:r>
      <w:r w:rsidRPr="004B5D6D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январь </w:t>
      </w:r>
      <w:proofErr w:type="gramStart"/>
      <w:r w:rsidRPr="004B5D6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E0B6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="00BE0B6C">
        <w:rPr>
          <w:rFonts w:ascii="Times New Roman" w:eastAsia="Times New Roman" w:hAnsi="Times New Roman"/>
          <w:sz w:val="24"/>
          <w:szCs w:val="24"/>
          <w:lang w:eastAsia="ru-RU"/>
        </w:rPr>
        <w:t xml:space="preserve">арт </w:t>
      </w:r>
      <w:r w:rsidRPr="004B5D6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BE0B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B5D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AA16A2">
        <w:rPr>
          <w:rFonts w:ascii="Arial" w:eastAsia="Times New Roman" w:hAnsi="Arial" w:cs="Arial"/>
          <w:color w:val="3B4256"/>
          <w:sz w:val="17"/>
          <w:szCs w:val="17"/>
          <w:lang w:eastAsia="ru-RU"/>
        </w:rPr>
        <w:t xml:space="preserve">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исполнена в сумме </w:t>
      </w:r>
      <w:r w:rsidR="0098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90 047,3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рублей, или на </w:t>
      </w:r>
      <w:r w:rsidR="0098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="004E2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8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4E2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уточненному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годовому плану. </w:t>
      </w:r>
    </w:p>
    <w:p w:rsidR="00E676BC" w:rsidRPr="00172AE6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Отмечается </w:t>
      </w:r>
      <w:r w:rsidR="00B339C5">
        <w:rPr>
          <w:rFonts w:ascii="Times New Roman" w:eastAsia="Times New Roman" w:hAnsi="Times New Roman"/>
          <w:sz w:val="24"/>
          <w:szCs w:val="24"/>
          <w:lang w:eastAsia="ru-RU"/>
        </w:rPr>
        <w:t>рост</w:t>
      </w:r>
      <w:r w:rsidR="00C769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к аналогичному периоду прошлого года </w:t>
      </w:r>
      <w:r w:rsidR="00B339C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>налоговы</w:t>
      </w:r>
      <w:r w:rsidR="00B339C5">
        <w:rPr>
          <w:rFonts w:ascii="Times New Roman" w:eastAsia="Times New Roman" w:hAnsi="Times New Roman"/>
          <w:sz w:val="24"/>
          <w:szCs w:val="24"/>
          <w:lang w:eastAsia="ru-RU"/>
        </w:rPr>
        <w:t xml:space="preserve">м доходам на </w:t>
      </w:r>
      <w:r w:rsidR="00982391">
        <w:rPr>
          <w:rFonts w:ascii="Times New Roman" w:eastAsia="Times New Roman" w:hAnsi="Times New Roman"/>
          <w:sz w:val="24"/>
          <w:szCs w:val="24"/>
          <w:lang w:eastAsia="ru-RU"/>
        </w:rPr>
        <w:t xml:space="preserve">3 450,2 </w:t>
      </w:r>
      <w:r w:rsidR="00B339C5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</w:t>
      </w:r>
      <w:r w:rsidR="003F201D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>неналоговы</w:t>
      </w:r>
      <w:r w:rsidR="003F201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</w:t>
      </w:r>
      <w:r w:rsidR="003F201D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2391">
        <w:rPr>
          <w:rFonts w:ascii="Times New Roman" w:eastAsia="Times New Roman" w:hAnsi="Times New Roman"/>
          <w:sz w:val="24"/>
          <w:szCs w:val="24"/>
          <w:lang w:eastAsia="ru-RU"/>
        </w:rPr>
        <w:t xml:space="preserve">1 504,7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 w:rsidR="009C36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6C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о безвозмездным поступлениям </w:t>
      </w:r>
      <w:r w:rsidR="00B339C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82391">
        <w:rPr>
          <w:rFonts w:ascii="Times New Roman" w:eastAsia="Times New Roman" w:hAnsi="Times New Roman"/>
          <w:sz w:val="24"/>
          <w:szCs w:val="24"/>
          <w:lang w:eastAsia="ru-RU"/>
        </w:rPr>
        <w:t xml:space="preserve">13 879,8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рублей. </w:t>
      </w:r>
    </w:p>
    <w:p w:rsidR="00B339C5" w:rsidRDefault="00E676BC" w:rsidP="00E676B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Динамика доходов консолидированного бюджета в сравнении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аналогичным периодом прошлого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представлена на диаграмме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тыс. рублей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76BC" w:rsidRDefault="0073729B" w:rsidP="00005AC8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84520" cy="32480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53B9" w:rsidRDefault="00C7691E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бъем поступлений налоговых доходов </w:t>
      </w:r>
      <w:r w:rsidR="00DD0891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возрос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к уровню прошлого года на 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4E2B8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 (на </w:t>
      </w:r>
      <w:proofErr w:type="gramEnd"/>
    </w:p>
    <w:p w:rsidR="00E676BC" w:rsidRDefault="009B6A33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3 450,2 </w:t>
      </w:r>
      <w:r w:rsidR="00C7691E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рублей). </w:t>
      </w:r>
      <w:proofErr w:type="gramEnd"/>
    </w:p>
    <w:p w:rsidR="00793EE9" w:rsidRDefault="0033033B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Рост 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поступлений отмечается: </w:t>
      </w:r>
    </w:p>
    <w:p w:rsidR="002B5BDF" w:rsidRDefault="002B5BDF" w:rsidP="002B5BDF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налогу, взимаемому в связи с применением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упрощенной систем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налогообложения – на 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%, или на 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 xml:space="preserve">3 441,4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рублей; </w:t>
      </w:r>
    </w:p>
    <w:p w:rsidR="009153B9" w:rsidRDefault="009153B9" w:rsidP="0033033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от уплаты акцизов на нефтепродукты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 xml:space="preserve">21,2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%, или на </w:t>
      </w:r>
      <w:r w:rsidR="00A81839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8183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C942C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B6A33" w:rsidRDefault="009B6A33" w:rsidP="0033033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единому сельхозналогу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9,2 раза, или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 xml:space="preserve">534,2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033B" w:rsidRDefault="00B66F7B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налогу на имущество организаций – на 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>7,8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 xml:space="preserve">121,2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92475" w:rsidRDefault="00B66F7B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C942CB">
        <w:rPr>
          <w:rFonts w:ascii="Times New Roman" w:eastAsia="Times New Roman" w:hAnsi="Times New Roman"/>
          <w:sz w:val="24"/>
          <w:szCs w:val="24"/>
          <w:lang w:eastAsia="ru-RU"/>
        </w:rPr>
        <w:t>земельному налогу – на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 xml:space="preserve"> 63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>,9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 или на 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 xml:space="preserve">169,7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92475" w:rsidRDefault="00B66F7B" w:rsidP="00492475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 xml:space="preserve">по госпошлине  </w:t>
      </w:r>
      <w:r w:rsidR="00492475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 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 xml:space="preserve">27,6 </w:t>
      </w:r>
      <w:r w:rsidR="00492475" w:rsidRPr="00BB56BD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475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492475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>38,7 тыс</w:t>
      </w:r>
      <w:r w:rsidR="00492475"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6A33" w:rsidRDefault="00B66F7B" w:rsidP="009B6A33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сложилось</w:t>
      </w:r>
      <w:r w:rsidR="00A60E5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9B6A33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налогу на доходы физических лиц – на 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 xml:space="preserve">0,2 </w:t>
      </w:r>
      <w:r w:rsidR="009B6A33" w:rsidRPr="00BB56BD">
        <w:rPr>
          <w:rFonts w:ascii="Times New Roman" w:eastAsia="Times New Roman" w:hAnsi="Times New Roman"/>
          <w:sz w:val="24"/>
          <w:szCs w:val="24"/>
          <w:lang w:eastAsia="ru-RU"/>
        </w:rPr>
        <w:t>%, или на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 xml:space="preserve"> 11,6 тыс</w:t>
      </w:r>
      <w:r w:rsidR="009B6A33"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>по единому налогу на вмененный доход –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 xml:space="preserve">1 322,3 </w:t>
      </w:r>
      <w:r w:rsidR="00E2589E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</w:t>
      </w:r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налогу с применением патентной системы </w:t>
      </w:r>
      <w:proofErr w:type="gramStart"/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>–н</w:t>
      </w:r>
      <w:proofErr w:type="gramEnd"/>
      <w:r w:rsidR="009B6A33">
        <w:rPr>
          <w:rFonts w:ascii="Times New Roman" w:eastAsia="Times New Roman" w:hAnsi="Times New Roman"/>
          <w:sz w:val="24"/>
          <w:szCs w:val="24"/>
          <w:lang w:eastAsia="ru-RU"/>
        </w:rPr>
        <w:t>а 3,0 %, или на 17,2 тыс. рублей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налогу на имущество физических лиц </w:t>
      </w:r>
      <w:r w:rsidR="00492475" w:rsidRPr="00BB56B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>на 64,1 %, или на 80,3 тыс</w:t>
      </w:r>
      <w:r w:rsidR="00492475"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 w:rsidR="004924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76BC" w:rsidRPr="00BB56BD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неналоговых доходов к уровню прошлого года </w:t>
      </w:r>
      <w:r w:rsidR="00D24EDB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возрос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F9F">
        <w:rPr>
          <w:rFonts w:ascii="Times New Roman" w:eastAsia="Times New Roman" w:hAnsi="Times New Roman"/>
          <w:sz w:val="24"/>
          <w:szCs w:val="24"/>
          <w:lang w:eastAsia="ru-RU"/>
        </w:rPr>
        <w:t xml:space="preserve">1 504,7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рублей (</w:t>
      </w:r>
      <w:r w:rsidR="00D24ED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1,</w:t>
      </w:r>
      <w:r w:rsidR="00F74F9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24ED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раза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FB3526" w:rsidRPr="00BB56BD" w:rsidRDefault="00E676BC" w:rsidP="001C6803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межбюджетных трансфертов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бюджета в отчетном году</w:t>
      </w:r>
      <w:r w:rsidR="00F74F9F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увеличились</w:t>
      </w:r>
      <w:r w:rsidR="00FB3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F74F9F">
        <w:rPr>
          <w:rFonts w:ascii="Times New Roman" w:eastAsia="Times New Roman" w:hAnsi="Times New Roman"/>
          <w:sz w:val="24"/>
          <w:szCs w:val="24"/>
          <w:lang w:eastAsia="ru-RU"/>
        </w:rPr>
        <w:t xml:space="preserve">14 017,4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(на </w:t>
      </w:r>
      <w:r w:rsidR="00F74F9F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9E0F56">
        <w:rPr>
          <w:rFonts w:ascii="Times New Roman" w:eastAsia="Times New Roman" w:hAnsi="Times New Roman"/>
          <w:sz w:val="24"/>
          <w:szCs w:val="24"/>
          <w:lang w:eastAsia="ru-RU"/>
        </w:rPr>
        <w:t>,4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="001C68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76BC" w:rsidRPr="000B4B29" w:rsidRDefault="00E676BC" w:rsidP="00E6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</w:t>
      </w:r>
    </w:p>
    <w:p w:rsidR="00E676BC" w:rsidRDefault="00E676BC" w:rsidP="00E676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асходная часть консолидированного бюджета района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отчетный период 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исполнена в объеме </w:t>
      </w:r>
      <w:r w:rsidR="00F74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85 515,4 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рублей, или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4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="00055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74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к годовому плану.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676BC" w:rsidRDefault="00E676BC" w:rsidP="00E676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сравнению с прошл</w:t>
      </w:r>
      <w:r w:rsidR="00711CBB"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</w:t>
      </w:r>
      <w:r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711CBB"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кассовые расходы в целом </w:t>
      </w:r>
      <w:r w:rsidR="00711CBB"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увеличились </w:t>
      </w:r>
      <w:r w:rsidRP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 </w:t>
      </w:r>
      <w:r w:rsidR="00F74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18826,1 </w:t>
      </w:r>
      <w:r w:rsidRPr="002A2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(на </w:t>
      </w:r>
      <w:r w:rsidR="002A297E" w:rsidRPr="002A2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74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2A297E" w:rsidRPr="002A2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74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2A2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%).</w:t>
      </w:r>
    </w:p>
    <w:p w:rsidR="00E676BC" w:rsidRPr="000B4B29" w:rsidRDefault="00E676BC" w:rsidP="00E676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структуре расходов бюджета основную долю занимают расходы </w:t>
      </w:r>
      <w:proofErr w:type="gramStart"/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E676BC" w:rsidRDefault="00E676BC" w:rsidP="00E67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образование –  </w:t>
      </w:r>
      <w:r w:rsidR="00626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74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626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74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26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%;</w:t>
      </w:r>
    </w:p>
    <w:p w:rsidR="008A38B9" w:rsidRPr="008A38B9" w:rsidRDefault="008A38B9" w:rsidP="00E67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национальную экономику –27,9 %; </w:t>
      </w:r>
    </w:p>
    <w:p w:rsidR="00E676BC" w:rsidRDefault="00E676BC" w:rsidP="00E67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общегосударственные вопросы – </w:t>
      </w:r>
      <w:r w:rsidR="00626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8A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6260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A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%;</w:t>
      </w:r>
    </w:p>
    <w:p w:rsidR="00C41329" w:rsidRPr="00C41329" w:rsidRDefault="00C41329" w:rsidP="00CA6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1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культуру –</w:t>
      </w:r>
      <w:r w:rsidR="00BE0E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9,</w:t>
      </w:r>
      <w:r w:rsidR="008A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C41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%;  </w:t>
      </w:r>
    </w:p>
    <w:p w:rsidR="00626017" w:rsidRDefault="00CA6977" w:rsidP="00CA6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6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социальную политику –</w:t>
      </w:r>
      <w:r w:rsidR="008A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4,1</w:t>
      </w:r>
      <w:r w:rsidRPr="00CA6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</w:p>
    <w:p w:rsidR="00626017" w:rsidRDefault="00626017" w:rsidP="006260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жилищно</w:t>
      </w:r>
      <w:proofErr w:type="spellEnd"/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коммунальное хозяйство –</w:t>
      </w:r>
      <w:r w:rsidR="008A3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1,6</w:t>
      </w: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A6977" w:rsidRPr="00CA6977" w:rsidRDefault="00CA6977" w:rsidP="00626017">
      <w:pPr>
        <w:spacing w:before="100" w:beforeAutospacing="1" w:after="100" w:afterAutospacing="1" w:line="240" w:lineRule="auto"/>
        <w:ind w:left="15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76BC" w:rsidRPr="00D70C99" w:rsidRDefault="0073729B" w:rsidP="00E676BC">
      <w:pPr>
        <w:rPr>
          <w:b/>
        </w:rPr>
      </w:pPr>
      <w:r w:rsidRPr="00D70C99">
        <w:rPr>
          <w:b/>
          <w:noProof/>
          <w:lang w:eastAsia="ru-RU"/>
        </w:rPr>
        <w:drawing>
          <wp:inline distT="0" distB="0" distL="0" distR="0">
            <wp:extent cx="5233670" cy="3248025"/>
            <wp:effectExtent l="19050" t="0" r="2413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5AC8" w:rsidRPr="000B4B29" w:rsidRDefault="00005AC8" w:rsidP="00005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 отчетный период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муниципальным образованиям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направлено межбюджетных трансфертов в объеме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70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3 920,3</w:t>
      </w:r>
      <w:r w:rsidR="0014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14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D70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,3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запланированного объема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том числе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дотации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выравнивание бюджетной обеспеченности</w:t>
      </w:r>
      <w:r w:rsidR="00D70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1500,9</w:t>
      </w:r>
      <w:r w:rsidR="002A2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="003C5E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или </w:t>
      </w:r>
      <w:r w:rsidR="00D70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="008D1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субвенций 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D70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91,6 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или </w:t>
      </w:r>
      <w:r w:rsidR="00D70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="003C5E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4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%, иных межбюджетных трансфертов –</w:t>
      </w:r>
      <w:r w:rsidR="00441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2 327,7 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 или </w:t>
      </w:r>
      <w:r w:rsidR="00441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23,2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D2202" w:rsidRDefault="00005AC8" w:rsidP="00AD2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показателями отчета об исполнении консолидированного бюджет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муниципального образования </w:t>
      </w:r>
      <w:proofErr w:type="spellStart"/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Шабалинский</w:t>
      </w:r>
      <w:proofErr w:type="spellEnd"/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муниципальный район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Кировской области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01.</w:t>
      </w:r>
      <w:r w:rsidR="0014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441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141A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ознакомиться на </w:t>
      </w:r>
      <w:r w:rsidRPr="00AD2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AD2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441CFF" w:rsidRPr="007178C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http://adm-shabalino.ru/mestnyj-byudzhet-i-byudzhetnyj-protsess-v-munitsipalnom-obrazovanii/otchetnost/490-otchetnost-za-2022-god</w:t>
        </w:r>
      </w:hyperlink>
    </w:p>
    <w:p w:rsidR="00441CFF" w:rsidRDefault="00441CFF" w:rsidP="00AD2202">
      <w:pPr>
        <w:spacing w:before="100" w:beforeAutospacing="1" w:after="100" w:afterAutospacing="1" w:line="240" w:lineRule="auto"/>
        <w:jc w:val="both"/>
      </w:pPr>
    </w:p>
    <w:sectPr w:rsidR="00441CFF" w:rsidSect="00D2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6CA1"/>
    <w:multiLevelType w:val="hybridMultilevel"/>
    <w:tmpl w:val="645EC8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76BC"/>
    <w:rsid w:val="00005AC8"/>
    <w:rsid w:val="000344D9"/>
    <w:rsid w:val="000555F4"/>
    <w:rsid w:val="000B5C2E"/>
    <w:rsid w:val="001024A2"/>
    <w:rsid w:val="00141AC8"/>
    <w:rsid w:val="0019716A"/>
    <w:rsid w:val="001B20F0"/>
    <w:rsid w:val="001B6841"/>
    <w:rsid w:val="001C6803"/>
    <w:rsid w:val="002A297E"/>
    <w:rsid w:val="002B21F7"/>
    <w:rsid w:val="002B5BDF"/>
    <w:rsid w:val="002E6D47"/>
    <w:rsid w:val="002F1C62"/>
    <w:rsid w:val="00302506"/>
    <w:rsid w:val="0033033B"/>
    <w:rsid w:val="003C5E6D"/>
    <w:rsid w:val="003D2006"/>
    <w:rsid w:val="003F201D"/>
    <w:rsid w:val="003F4B28"/>
    <w:rsid w:val="00441CFF"/>
    <w:rsid w:val="004514B5"/>
    <w:rsid w:val="004843D0"/>
    <w:rsid w:val="00492475"/>
    <w:rsid w:val="004A1BB6"/>
    <w:rsid w:val="004A46A4"/>
    <w:rsid w:val="004E2B8C"/>
    <w:rsid w:val="004F20E1"/>
    <w:rsid w:val="005078DA"/>
    <w:rsid w:val="00542198"/>
    <w:rsid w:val="00561314"/>
    <w:rsid w:val="0058322A"/>
    <w:rsid w:val="00617481"/>
    <w:rsid w:val="00626017"/>
    <w:rsid w:val="0066382D"/>
    <w:rsid w:val="00665E0B"/>
    <w:rsid w:val="00687E2B"/>
    <w:rsid w:val="006C235E"/>
    <w:rsid w:val="00711AD2"/>
    <w:rsid w:val="00711CBB"/>
    <w:rsid w:val="0073729B"/>
    <w:rsid w:val="00753C01"/>
    <w:rsid w:val="00770D1E"/>
    <w:rsid w:val="00774EA4"/>
    <w:rsid w:val="00793EE9"/>
    <w:rsid w:val="007B0A53"/>
    <w:rsid w:val="007C2296"/>
    <w:rsid w:val="007E1B98"/>
    <w:rsid w:val="008209B3"/>
    <w:rsid w:val="008571C1"/>
    <w:rsid w:val="00862F32"/>
    <w:rsid w:val="008A38B9"/>
    <w:rsid w:val="008D1637"/>
    <w:rsid w:val="009153B9"/>
    <w:rsid w:val="00951484"/>
    <w:rsid w:val="00974392"/>
    <w:rsid w:val="00982391"/>
    <w:rsid w:val="009B6A33"/>
    <w:rsid w:val="009C36C7"/>
    <w:rsid w:val="009C6956"/>
    <w:rsid w:val="009D5632"/>
    <w:rsid w:val="009E0F56"/>
    <w:rsid w:val="00A60E52"/>
    <w:rsid w:val="00A62B90"/>
    <w:rsid w:val="00A65F1A"/>
    <w:rsid w:val="00A81839"/>
    <w:rsid w:val="00AD2202"/>
    <w:rsid w:val="00AE2009"/>
    <w:rsid w:val="00AE6545"/>
    <w:rsid w:val="00B339C5"/>
    <w:rsid w:val="00B66F7B"/>
    <w:rsid w:val="00BA776F"/>
    <w:rsid w:val="00BC44C6"/>
    <w:rsid w:val="00BE0B6C"/>
    <w:rsid w:val="00BE0E50"/>
    <w:rsid w:val="00BF5A7F"/>
    <w:rsid w:val="00C0679F"/>
    <w:rsid w:val="00C41329"/>
    <w:rsid w:val="00C5081A"/>
    <w:rsid w:val="00C7691E"/>
    <w:rsid w:val="00C942CB"/>
    <w:rsid w:val="00CA6977"/>
    <w:rsid w:val="00CD4FBC"/>
    <w:rsid w:val="00D232FE"/>
    <w:rsid w:val="00D24EDB"/>
    <w:rsid w:val="00D27B34"/>
    <w:rsid w:val="00D4248E"/>
    <w:rsid w:val="00D570CE"/>
    <w:rsid w:val="00D70C99"/>
    <w:rsid w:val="00D75727"/>
    <w:rsid w:val="00DD0891"/>
    <w:rsid w:val="00DF1925"/>
    <w:rsid w:val="00E13111"/>
    <w:rsid w:val="00E229BB"/>
    <w:rsid w:val="00E22DDD"/>
    <w:rsid w:val="00E236C6"/>
    <w:rsid w:val="00E2589E"/>
    <w:rsid w:val="00E676BC"/>
    <w:rsid w:val="00E84601"/>
    <w:rsid w:val="00EE4C19"/>
    <w:rsid w:val="00F41272"/>
    <w:rsid w:val="00F74F9F"/>
    <w:rsid w:val="00FB3526"/>
    <w:rsid w:val="00FF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A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C8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D220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abalino.ru/mestnyj-byudzhet-i-byudzhetnyj-protsess-v-munitsipalnom-obrazovanii/otchetnost/490-otchetnost-za-2022-god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01.04.2021</c:v>
                </c:pt>
              </c:strCache>
            </c:strRef>
          </c:tx>
          <c:dLbls>
            <c:dLbl>
              <c:idx val="0"/>
              <c:layout>
                <c:manualLayout>
                  <c:x val="4.6296296296296658E-3"/>
                  <c:y val="-5.95238095238095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4.6296296296296658E-3"/>
                  <c:y val="-5.95238095238095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4.6294473607465716E-3"/>
                  <c:y val="-5.55558680164978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Всего доходов</c:v>
                </c:pt>
                <c:pt idx="1">
                  <c:v>Собственные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71212.600000000006</c:v>
                </c:pt>
                <c:pt idx="1">
                  <c:v>21751.3</c:v>
                </c:pt>
                <c:pt idx="2">
                  <c:v>49461.3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01.04.2022</c:v>
                </c:pt>
              </c:strCache>
            </c:strRef>
          </c:tx>
          <c:dLbls>
            <c:dLbl>
              <c:idx val="0"/>
              <c:layout>
                <c:manualLayout>
                  <c:x val="3.703703703703725E-2"/>
                  <c:y val="-3.57142857142857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8518518518518629E-2"/>
                  <c:y val="-7.9365079365079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3.0092592592592591E-2"/>
                  <c:y val="-1.98412698412699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Всего доходов</c:v>
                </c:pt>
                <c:pt idx="1">
                  <c:v>Собственные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90047.3</c:v>
                </c:pt>
                <c:pt idx="1">
                  <c:v>26706.2</c:v>
                </c:pt>
                <c:pt idx="2">
                  <c:v>63341.1</c:v>
                </c:pt>
              </c:numCache>
            </c:numRef>
          </c:val>
        </c:ser>
        <c:dLbls>
          <c:showVal val="1"/>
        </c:dLbls>
        <c:shape val="box"/>
        <c:axId val="50399104"/>
        <c:axId val="50400640"/>
        <c:axId val="0"/>
      </c:bar3DChart>
      <c:catAx>
        <c:axId val="50399104"/>
        <c:scaling>
          <c:orientation val="minMax"/>
        </c:scaling>
        <c:axPos val="b"/>
        <c:numFmt formatCode="General" sourceLinked="1"/>
        <c:majorTickMark val="none"/>
        <c:tickLblPos val="nextTo"/>
        <c:crossAx val="50400640"/>
        <c:crosses val="autoZero"/>
        <c:auto val="1"/>
        <c:lblAlgn val="ctr"/>
        <c:lblOffset val="100"/>
      </c:catAx>
      <c:valAx>
        <c:axId val="50400640"/>
        <c:scaling>
          <c:orientation val="minMax"/>
        </c:scaling>
        <c:delete val="1"/>
        <c:axPos val="l"/>
        <c:numFmt formatCode="General" sourceLinked="1"/>
        <c:tickLblPos val="none"/>
        <c:crossAx val="50399104"/>
        <c:crosses val="autoZero"/>
        <c:crossBetween val="between"/>
      </c:valAx>
      <c:spPr>
        <a:noFill/>
        <a:ln w="25349">
          <a:noFill/>
        </a:ln>
      </c:spPr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4.6509186351706026E-2"/>
                  <c:y val="-9.749531308586427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1.5361439195100694E-2"/>
                  <c:y val="8.8396137982752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2.3881780402449811E-2"/>
                  <c:y val="0.1463845144356955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-5.0032808398950162E-5"/>
                  <c:y val="-1.066085489313846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 val="-3.6134299640596376E-2"/>
                  <c:y val="-1.47194064085097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5"/>
              <c:layout>
                <c:manualLayout>
                  <c:x val="-1.6154217701953924E-2"/>
                  <c:y val="-5.281496062992168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6"/>
              <c:layout>
                <c:manualLayout>
                  <c:x val="5.3386829250510609E-2"/>
                  <c:y val="-4.098612673415823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Образование</c:v>
                </c:pt>
                <c:pt idx="1">
                  <c:v>Общегосударственные вопросы</c:v>
                </c:pt>
                <c:pt idx="2">
                  <c:v>Национальная экономика</c:v>
                </c:pt>
                <c:pt idx="3">
                  <c:v>Культура</c:v>
                </c:pt>
                <c:pt idx="4">
                  <c:v>ЖКХ</c:v>
                </c:pt>
                <c:pt idx="5">
                  <c:v>Социальная политика</c:v>
                </c:pt>
                <c:pt idx="6">
                  <c:v>Другие расходы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26802.5</c:v>
                </c:pt>
                <c:pt idx="1">
                  <c:v>18647.5</c:v>
                </c:pt>
                <c:pt idx="2">
                  <c:v>23884.3</c:v>
                </c:pt>
                <c:pt idx="3">
                  <c:v>8138.2</c:v>
                </c:pt>
                <c:pt idx="4">
                  <c:v>1368</c:v>
                </c:pt>
                <c:pt idx="5">
                  <c:v>3513.9</c:v>
                </c:pt>
                <c:pt idx="6">
                  <c:v>3160.9</c:v>
                </c:pt>
              </c:numCache>
            </c:numRef>
          </c:val>
        </c:ser>
      </c:pie3DChart>
      <c:spPr>
        <a:noFill/>
        <a:ln w="25329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24BC1-B1EA-4093-82BC-B946D251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Links>
    <vt:vector size="6" baseType="variant">
      <vt:variant>
        <vt:i4>1048662</vt:i4>
      </vt:variant>
      <vt:variant>
        <vt:i4>6</vt:i4>
      </vt:variant>
      <vt:variant>
        <vt:i4>0</vt:i4>
      </vt:variant>
      <vt:variant>
        <vt:i4>5</vt:i4>
      </vt:variant>
      <vt:variant>
        <vt:lpwstr>http://adm-shabalino.ru/mestnyj-byudzhet-i-byudzhetnyj-protsess-v-munitsipalnom-obrazovanii/otchetnost/453-otchetnost-za-2021-god/1858-otchetnost-za-2021-god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2020-10-19T07:43:00Z</cp:lastPrinted>
  <dcterms:created xsi:type="dcterms:W3CDTF">2022-04-21T08:47:00Z</dcterms:created>
  <dcterms:modified xsi:type="dcterms:W3CDTF">2022-04-21T11:18:00Z</dcterms:modified>
</cp:coreProperties>
</file>