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Исполнение консолидированного бюджета </w:t>
      </w:r>
      <w:proofErr w:type="spellStart"/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январь-</w:t>
      </w:r>
      <w:r w:rsidR="007E1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декабрь</w:t>
      </w:r>
      <w:r w:rsidR="002E6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</w:t>
      </w:r>
    </w:p>
    <w:p w:rsidR="00E676BC" w:rsidRDefault="00E676BC" w:rsidP="00E6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Доходная часть консолидированного бюджета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безвозмездных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за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январь –</w:t>
      </w:r>
      <w:r w:rsidR="00556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B98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декабрь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Pr="00AA16A2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сумме </w:t>
      </w:r>
      <w:r w:rsidR="007E1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307 611,4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или на </w:t>
      </w:r>
      <w:r w:rsidR="007E1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уточненному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годовому плану. </w:t>
      </w:r>
    </w:p>
    <w:p w:rsidR="00E676BC" w:rsidRPr="00172AE6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к аналогичному периоду прошлого года налоговых и неналоговых доходов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B98">
        <w:rPr>
          <w:rFonts w:ascii="Times New Roman" w:eastAsia="Times New Roman" w:hAnsi="Times New Roman"/>
          <w:sz w:val="24"/>
          <w:szCs w:val="24"/>
          <w:lang w:eastAsia="ru-RU"/>
        </w:rPr>
        <w:t xml:space="preserve">3 706,5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6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 безвозмездным поступлениям на </w:t>
      </w:r>
      <w:r w:rsidR="007E1B98">
        <w:rPr>
          <w:rFonts w:ascii="Times New Roman" w:eastAsia="Times New Roman" w:hAnsi="Times New Roman"/>
          <w:sz w:val="24"/>
          <w:szCs w:val="24"/>
          <w:lang w:eastAsia="ru-RU"/>
        </w:rPr>
        <w:t xml:space="preserve">765,6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</w:t>
      </w:r>
    </w:p>
    <w:p w:rsidR="00E676BC" w:rsidRDefault="00E676BC" w:rsidP="00E676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доходов консолидированного бюджета в сравнении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аналогичным периодом прошлого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тыс. рублей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6BC" w:rsidRDefault="00AE2009" w:rsidP="00005A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6720" cy="320738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76BC" w:rsidRDefault="00C7691E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поступлений налоговых доходов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возрос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к уровню прошлого года на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(на </w:t>
      </w:r>
      <w:r w:rsidR="00DD0891">
        <w:rPr>
          <w:rFonts w:ascii="Times New Roman" w:eastAsia="Times New Roman" w:hAnsi="Times New Roman"/>
          <w:sz w:val="24"/>
          <w:szCs w:val="24"/>
          <w:lang w:eastAsia="ru-RU"/>
        </w:rPr>
        <w:t xml:space="preserve">558,3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рублей). </w:t>
      </w:r>
    </w:p>
    <w:p w:rsidR="00793EE9" w:rsidRDefault="0033033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поступлений отмечается: </w:t>
      </w:r>
    </w:p>
    <w:p w:rsidR="002B5BDF" w:rsidRDefault="002B5BDF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доходы физических лиц 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4,4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%, или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920,3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B5BDF" w:rsidRDefault="002B5BDF" w:rsidP="002B5BDF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упрощенной системе налогообложения 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1,0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237,7</w:t>
      </w:r>
      <w:r w:rsidR="007C2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рублей; </w:t>
      </w:r>
    </w:p>
    <w:p w:rsidR="002B5BDF" w:rsidRDefault="007C2296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единому сельхозналогу – на 23,7 %, или на 254,4 тыс. рублей;</w:t>
      </w:r>
    </w:p>
    <w:p w:rsidR="0033033B" w:rsidRDefault="0033033B" w:rsidP="0033033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физических лиц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7C2296">
        <w:rPr>
          <w:rFonts w:ascii="Times New Roman" w:eastAsia="Times New Roman" w:hAnsi="Times New Roman"/>
          <w:sz w:val="24"/>
          <w:szCs w:val="24"/>
          <w:lang w:eastAsia="ru-RU"/>
        </w:rPr>
        <w:t xml:space="preserve">4,4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7C2296">
        <w:rPr>
          <w:rFonts w:ascii="Times New Roman" w:eastAsia="Times New Roman" w:hAnsi="Times New Roman"/>
          <w:sz w:val="24"/>
          <w:szCs w:val="24"/>
          <w:lang w:eastAsia="ru-RU"/>
        </w:rPr>
        <w:t xml:space="preserve">39,1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33033B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организаций 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10,8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556,3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1329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госпошлине на 8,2 %  или на 57,3 тыс. рублей.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BB56BD" w:rsidRDefault="00B66F7B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Снижение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сложилось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от уплаты акцизов на нефтепродукты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934,4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по единому налогу на вмененный доход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5,6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274,9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с применением патентной системы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27,8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 xml:space="preserve"> %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171,6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земельному налогу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8,7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125,9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Объем неналоговых доходов к уровню прошлого года также снизился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4 264,8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</w:p>
    <w:p w:rsidR="00A60E52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отчетном году 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снизились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28,4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29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%), в том числе за счет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0E52" w:rsidRDefault="00A60E52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снижени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объема перечисленных 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 на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25 978,8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ублей (на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19,5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>%),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BB56BD" w:rsidRDefault="00A60E52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увеличение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дотаций – на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0D1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51484">
        <w:rPr>
          <w:rFonts w:ascii="Times New Roman" w:eastAsia="Times New Roman" w:hAnsi="Times New Roman"/>
          <w:sz w:val="24"/>
          <w:szCs w:val="24"/>
          <w:lang w:eastAsia="ru-RU"/>
        </w:rPr>
        <w:t> 7</w:t>
      </w:r>
      <w:r w:rsidR="00770D1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9514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0D1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65,8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субвенций на 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1 189,4 тыс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2,2</w:t>
      </w:r>
      <w:r w:rsidR="000344D9" w:rsidRPr="00BB56BD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65E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межбюджетных на 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3 557,4</w:t>
      </w:r>
      <w:r w:rsidR="00665E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0344D9">
        <w:rPr>
          <w:rFonts w:ascii="Times New Roman" w:eastAsia="Times New Roman" w:hAnsi="Times New Roman"/>
          <w:sz w:val="24"/>
          <w:szCs w:val="24"/>
          <w:lang w:eastAsia="ru-RU"/>
        </w:rPr>
        <w:t xml:space="preserve"> 2,5 раза)</w:t>
      </w:r>
      <w:r w:rsidR="00E676BC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76BC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ост дотаций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</w:t>
      </w:r>
      <w:proofErr w:type="gramStart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сложился</w:t>
      </w:r>
      <w:proofErr w:type="gramEnd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E52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в результате поступления целевых средств в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EA4">
        <w:rPr>
          <w:rFonts w:ascii="Times New Roman" w:eastAsia="Times New Roman" w:hAnsi="Times New Roman"/>
          <w:sz w:val="24"/>
          <w:szCs w:val="24"/>
          <w:lang w:eastAsia="ru-RU"/>
        </w:rPr>
        <w:t xml:space="preserve">5 604,6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рублей на поддержку сбалансированности бюджетов, в том числе в целях компенсации снижения поступления налоговых и неналоговых доходов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местных бюджетов</w:t>
      </w:r>
      <w:r w:rsidR="00711CB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1720D">
        <w:rPr>
          <w:rFonts w:ascii="Times New Roman" w:hAnsi="Times New Roman"/>
          <w:sz w:val="24"/>
          <w:szCs w:val="24"/>
        </w:rPr>
        <w:t>на реализацию  мероприятий, связанных с обеспечением санитарно-эпидемиологической безопасности при подготовке к проведению общероссийского голосования по вопросу  одобрения изменений в Конституцию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асходная часть консолидированного бюджета района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отчетный период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объеме 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314 070,9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97,7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годовому плану.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сравнению с прошл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кассовые расходы в целом 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увеличились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1 538,2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0,5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расходов бюджета основную долю занимают расходы </w:t>
      </w:r>
      <w:proofErr w:type="gramStart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–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общегосударственные вопросы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11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E676BC" w:rsidRPr="00203893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национальную экономику –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16,3</w:t>
      </w: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</w:t>
      </w:r>
    </w:p>
    <w:p w:rsidR="00CA697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коммунальное хозяйство –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8,8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1329" w:rsidRPr="00C41329" w:rsidRDefault="00C41329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культуру –8,4%;  </w:t>
      </w:r>
    </w:p>
    <w:p w:rsidR="00CA6977" w:rsidRPr="00CA697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политику –4,</w:t>
      </w:r>
      <w:r w:rsidR="00C41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E676BC" w:rsidRDefault="00C0679F" w:rsidP="00E676BC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C8" w:rsidRPr="000B4B29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образованиям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межбюджетных трансфертов в объеме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32 230,5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99,95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запланированного объема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выравнивание бюджетной обеспеченности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3 200,0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субсидий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13 923,9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субвенций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488,9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иных межбюджетных трансфертов –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14 617,7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или 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005AC8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показателями отчета об исполнении консолидированного бюджет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муниципального образования </w:t>
      </w:r>
      <w:proofErr w:type="spellStart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Шабалинский</w:t>
      </w:r>
      <w:proofErr w:type="spellEnd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01.0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65F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на 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C806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http://adm-shabalino.ru/mestnyj-byudzhet-i-byudzhetnyj-protsess-v-munitsipalnom-obrazovanii/otchetnost/418-otchetnost-za-2020-god</w:t>
        </w:r>
      </w:hyperlink>
    </w:p>
    <w:p w:rsidR="00005AC8" w:rsidRDefault="00005AC8" w:rsidP="00E676BC"/>
    <w:sectPr w:rsidR="00005AC8" w:rsidSect="00D2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CA1"/>
    <w:multiLevelType w:val="hybridMultilevel"/>
    <w:tmpl w:val="645EC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6BC"/>
    <w:rsid w:val="00005AC8"/>
    <w:rsid w:val="000344D9"/>
    <w:rsid w:val="000B5C2E"/>
    <w:rsid w:val="001B20F0"/>
    <w:rsid w:val="001B6841"/>
    <w:rsid w:val="002B21F7"/>
    <w:rsid w:val="002B5BDF"/>
    <w:rsid w:val="002E6D47"/>
    <w:rsid w:val="002F1C62"/>
    <w:rsid w:val="0033033B"/>
    <w:rsid w:val="003809F1"/>
    <w:rsid w:val="003F4B28"/>
    <w:rsid w:val="004843D0"/>
    <w:rsid w:val="004A46A4"/>
    <w:rsid w:val="00556CA4"/>
    <w:rsid w:val="00561314"/>
    <w:rsid w:val="0058322A"/>
    <w:rsid w:val="0066382D"/>
    <w:rsid w:val="00665E0B"/>
    <w:rsid w:val="00711AD2"/>
    <w:rsid w:val="00711CBB"/>
    <w:rsid w:val="00753C01"/>
    <w:rsid w:val="00770D1E"/>
    <w:rsid w:val="00774EA4"/>
    <w:rsid w:val="00793EE9"/>
    <w:rsid w:val="007B0A53"/>
    <w:rsid w:val="007C2296"/>
    <w:rsid w:val="007E1B98"/>
    <w:rsid w:val="008209B3"/>
    <w:rsid w:val="008571C1"/>
    <w:rsid w:val="00862F32"/>
    <w:rsid w:val="008D1637"/>
    <w:rsid w:val="00951484"/>
    <w:rsid w:val="00974392"/>
    <w:rsid w:val="009C36C7"/>
    <w:rsid w:val="009C6956"/>
    <w:rsid w:val="009D5632"/>
    <w:rsid w:val="00A60E52"/>
    <w:rsid w:val="00A62B90"/>
    <w:rsid w:val="00A65F1A"/>
    <w:rsid w:val="00AE2009"/>
    <w:rsid w:val="00AE6545"/>
    <w:rsid w:val="00B66F7B"/>
    <w:rsid w:val="00BA776F"/>
    <w:rsid w:val="00BF5A7F"/>
    <w:rsid w:val="00C0679F"/>
    <w:rsid w:val="00C41329"/>
    <w:rsid w:val="00C5081A"/>
    <w:rsid w:val="00C7691E"/>
    <w:rsid w:val="00CA6977"/>
    <w:rsid w:val="00D232FE"/>
    <w:rsid w:val="00D27B34"/>
    <w:rsid w:val="00D570CE"/>
    <w:rsid w:val="00DD0891"/>
    <w:rsid w:val="00DF1925"/>
    <w:rsid w:val="00E229BB"/>
    <w:rsid w:val="00E236C6"/>
    <w:rsid w:val="00E676BC"/>
    <w:rsid w:val="00E84601"/>
    <w:rsid w:val="00EE4C19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abalino.ru/mestnyj-byudzhet-i-byudzhetnyj-protsess-v-munitsipalnom-obrazovanii/otchetnost/418-otchetnost-za-2020-go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01.01.2020</c:v>
                </c:pt>
              </c:strCache>
            </c:strRef>
          </c:tx>
          <c:dLbls>
            <c:dLbl>
              <c:idx val="0"/>
              <c:layout>
                <c:manualLayout>
                  <c:x val="4.6296296296296519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519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4473607465716E-3"/>
                  <c:y val="-5.5555868016497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312083.5</c:v>
                </c:pt>
                <c:pt idx="1">
                  <c:v>91399.8</c:v>
                </c:pt>
                <c:pt idx="2">
                  <c:v>220683.7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01.01.2021</c:v>
                </c:pt>
              </c:strCache>
            </c:strRef>
          </c:tx>
          <c:dLbls>
            <c:dLbl>
              <c:idx val="0"/>
              <c:layout>
                <c:manualLayout>
                  <c:x val="3.703703703703716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518518518518583E-2"/>
                  <c:y val="-7.9365079365079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092592592592591E-2"/>
                  <c:y val="-1.9841269841269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307611.40000000002</c:v>
                </c:pt>
                <c:pt idx="1">
                  <c:v>87693.3</c:v>
                </c:pt>
                <c:pt idx="2">
                  <c:v>219918.1</c:v>
                </c:pt>
              </c:numCache>
            </c:numRef>
          </c:val>
        </c:ser>
        <c:dLbls>
          <c:showVal val="1"/>
        </c:dLbls>
        <c:shape val="box"/>
        <c:axId val="133583232"/>
        <c:axId val="133584768"/>
        <c:axId val="0"/>
      </c:bar3DChart>
      <c:catAx>
        <c:axId val="133583232"/>
        <c:scaling>
          <c:orientation val="minMax"/>
        </c:scaling>
        <c:axPos val="b"/>
        <c:numFmt formatCode="General" sourceLinked="1"/>
        <c:majorTickMark val="none"/>
        <c:tickLblPos val="nextTo"/>
        <c:crossAx val="133584768"/>
        <c:crosses val="autoZero"/>
        <c:auto val="1"/>
        <c:lblAlgn val="ctr"/>
        <c:lblOffset val="100"/>
      </c:catAx>
      <c:valAx>
        <c:axId val="133584768"/>
        <c:scaling>
          <c:orientation val="minMax"/>
        </c:scaling>
        <c:delete val="1"/>
        <c:axPos val="l"/>
        <c:numFmt formatCode="General" sourceLinked="1"/>
        <c:tickLblPos val="none"/>
        <c:crossAx val="133583232"/>
        <c:crosses val="autoZero"/>
        <c:crossBetween val="between"/>
      </c:valAx>
      <c:spPr>
        <a:noFill/>
        <a:ln w="25405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6509186351706026E-2"/>
                  <c:y val="-9.749531308586426E-2"/>
                </c:manualLayout>
              </c:layout>
              <c:showVal val="1"/>
            </c:dLbl>
            <c:dLbl>
              <c:idx val="1"/>
              <c:layout>
                <c:manualLayout>
                  <c:x val="1.5361439195100654E-2"/>
                  <c:y val="8.8396137982752226E-2"/>
                </c:manualLayout>
              </c:layout>
              <c:showVal val="1"/>
            </c:dLbl>
            <c:dLbl>
              <c:idx val="2"/>
              <c:layout>
                <c:manualLayout>
                  <c:x val="2.3881780402449773E-2"/>
                  <c:y val="0.14638451443569553"/>
                </c:manualLayout>
              </c:layout>
              <c:showVal val="1"/>
            </c:dLbl>
            <c:dLbl>
              <c:idx val="3"/>
              <c:layout>
                <c:manualLayout>
                  <c:x val="-5.0032808398950135E-5"/>
                  <c:y val="-1.066085489313842E-2"/>
                </c:manualLayout>
              </c:layout>
              <c:showVal val="1"/>
            </c:dLbl>
            <c:dLbl>
              <c:idx val="4"/>
              <c:layout>
                <c:manualLayout>
                  <c:x val="-3.6134259259259262E-2"/>
                  <c:y val="-4.2089738782652056E-2"/>
                </c:manualLayout>
              </c:layout>
              <c:showVal val="1"/>
            </c:dLbl>
            <c:dLbl>
              <c:idx val="5"/>
              <c:layout>
                <c:manualLayout>
                  <c:x val="-1.6154217701953924E-2"/>
                  <c:y val="-5.2814960629921484E-2"/>
                </c:manualLayout>
              </c:layout>
              <c:showVal val="1"/>
            </c:dLbl>
            <c:dLbl>
              <c:idx val="6"/>
              <c:layout>
                <c:manualLayout>
                  <c:x val="5.3386829250510519E-2"/>
                  <c:y val="-4.098612673415823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Культура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103688.3</c:v>
                </c:pt>
                <c:pt idx="1">
                  <c:v>77487.100000000006</c:v>
                </c:pt>
                <c:pt idx="2">
                  <c:v>51111.8</c:v>
                </c:pt>
                <c:pt idx="3">
                  <c:v>26256.400000000001</c:v>
                </c:pt>
                <c:pt idx="4">
                  <c:v>27597.4</c:v>
                </c:pt>
                <c:pt idx="5">
                  <c:v>13390.2</c:v>
                </c:pt>
                <c:pt idx="6">
                  <c:v>14539.7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AF15-A545-48F7-92A3-FC76C116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2020-10-19T07:43:00Z</cp:lastPrinted>
  <dcterms:created xsi:type="dcterms:W3CDTF">2020-10-16T10:55:00Z</dcterms:created>
  <dcterms:modified xsi:type="dcterms:W3CDTF">2021-01-26T11:36:00Z</dcterms:modified>
</cp:coreProperties>
</file>