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Исполнение консолидированного бюджета </w:t>
      </w:r>
      <w:proofErr w:type="spellStart"/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Шабалинского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 январь-</w:t>
      </w:r>
      <w:r w:rsidR="002E6D4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сентябрь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Pr="000B4B2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ДОХОДЫ </w:t>
      </w:r>
    </w:p>
    <w:p w:rsidR="00E676BC" w:rsidRDefault="00E676BC" w:rsidP="00E676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Доходная часть консолидированного бюджета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учетом безвозмездных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поступлений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областного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бюджета за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январь –</w:t>
      </w:r>
      <w:r w:rsidR="00BF5A7F">
        <w:rPr>
          <w:rFonts w:ascii="Times New Roman" w:eastAsia="Times New Roman" w:hAnsi="Times New Roman"/>
          <w:sz w:val="24"/>
          <w:szCs w:val="24"/>
          <w:lang w:eastAsia="ru-RU"/>
        </w:rPr>
        <w:t xml:space="preserve"> сентябрь </w:t>
      </w:r>
      <w:r w:rsidRPr="004B5D6D">
        <w:rPr>
          <w:rFonts w:ascii="Times New Roman" w:eastAsia="Times New Roman" w:hAnsi="Times New Roman"/>
          <w:sz w:val="24"/>
          <w:szCs w:val="24"/>
          <w:lang w:eastAsia="ru-RU"/>
        </w:rPr>
        <w:t>2020 года</w:t>
      </w:r>
      <w:r w:rsidRPr="00AA16A2">
        <w:rPr>
          <w:rFonts w:ascii="Arial" w:eastAsia="Times New Roman" w:hAnsi="Arial" w:cs="Arial"/>
          <w:color w:val="3B4256"/>
          <w:sz w:val="17"/>
          <w:szCs w:val="17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сумме </w:t>
      </w:r>
      <w:r w:rsidR="009D5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222 162,2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рублей, или на </w:t>
      </w:r>
      <w:r w:rsidR="009D5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 к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уточненному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годовому плану. </w:t>
      </w:r>
    </w:p>
    <w:p w:rsidR="00E676BC" w:rsidRPr="00172AE6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Отмечается 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>к аналогичному периоду прошлого года налоговых и неналоговых доходов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7 225,6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По безвозмездным поступлениям сложился рост на </w:t>
      </w:r>
      <w:r w:rsidR="00C7691E">
        <w:rPr>
          <w:rFonts w:ascii="Times New Roman" w:eastAsia="Times New Roman" w:hAnsi="Times New Roman"/>
          <w:sz w:val="24"/>
          <w:szCs w:val="24"/>
          <w:lang w:eastAsia="ru-RU"/>
        </w:rPr>
        <w:t xml:space="preserve">15 893,9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172AE6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рублей. </w:t>
      </w:r>
    </w:p>
    <w:p w:rsidR="00E676BC" w:rsidRDefault="00E676BC" w:rsidP="00E676BC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Динамика доходов консолидированного бюджета в сравнении с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аналогичным периодом прошлого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представлена на диаграмме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тыс. рублей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676BC" w:rsidRDefault="00AE2009" w:rsidP="00005AC8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06720" cy="3207385"/>
            <wp:effectExtent l="0" t="0" r="0" b="0"/>
            <wp:docPr id="5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76BC" w:rsidRDefault="00C7691E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бъем поступлений налоговых доходов снизился к уровню прошлого года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3,5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1 851,9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рублей). </w:t>
      </w:r>
    </w:p>
    <w:p w:rsidR="00793EE9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Снижение поступлений отмечается: 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от уплаты акцизов на нефтепродукты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,3%, или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>723,7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рублей;</w:t>
      </w:r>
    </w:p>
    <w:p w:rsidR="00E676BC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упрощенной системе налогообложения –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>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>1 734,2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рублей; </w:t>
      </w:r>
    </w:p>
    <w:p w:rsidR="00E676BC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единому налогу на вмененный доход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12,2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 xml:space="preserve">442,0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D27B34" w:rsidRDefault="00D27B34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 налогу с применением патентной системы на 8,0 % (на 28,5 тыс. рублей),</w:t>
      </w:r>
    </w:p>
    <w:p w:rsidR="00E676BC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физических лиц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 xml:space="preserve">70,9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>209,4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рублей;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земельному налогу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>44,4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327,1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Увеличение сложилось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9C6956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налогу на доходы физических лиц –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>2,2</w:t>
      </w:r>
      <w:r w:rsidR="009C6956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или на </w:t>
      </w:r>
      <w:r w:rsidR="009C6956">
        <w:rPr>
          <w:rFonts w:ascii="Times New Roman" w:eastAsia="Times New Roman" w:hAnsi="Times New Roman"/>
          <w:sz w:val="24"/>
          <w:szCs w:val="24"/>
          <w:lang w:eastAsia="ru-RU"/>
        </w:rPr>
        <w:t>319,3 тыс</w:t>
      </w:r>
      <w:r w:rsidR="009C6956"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единому сельхозналогу в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>3,2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раза (на </w:t>
      </w:r>
      <w:r w:rsidR="00D27B34">
        <w:rPr>
          <w:rFonts w:ascii="Times New Roman" w:eastAsia="Times New Roman" w:hAnsi="Times New Roman"/>
          <w:sz w:val="24"/>
          <w:szCs w:val="24"/>
          <w:lang w:eastAsia="ru-RU"/>
        </w:rPr>
        <w:t>904,3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рублей),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налогу на имущество организаций – 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8,6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Start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335,0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), по госпошлине на 1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% (на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54,4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рублей).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Объем неналоговых доходов к уровню прошлого года также снизился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5 373,7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</w:p>
    <w:p w:rsidR="00E676BC" w:rsidRPr="00BB56BD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межбюджетных трансфертов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бюджета в отчетном году возросли на 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 xml:space="preserve">15 491,1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93EE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%), в том числе за счет увеличения объема перечисленных дотаций –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51484">
        <w:rPr>
          <w:rFonts w:ascii="Times New Roman" w:eastAsia="Times New Roman" w:hAnsi="Times New Roman"/>
          <w:sz w:val="24"/>
          <w:szCs w:val="24"/>
          <w:lang w:eastAsia="ru-RU"/>
        </w:rPr>
        <w:t>5 758,8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 xml:space="preserve">70,1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%), субсидий на 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>1 491,</w:t>
      </w:r>
      <w:r w:rsidR="00665E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%), </w:t>
      </w:r>
      <w:r w:rsidR="00665E0B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межбюджетных на 220,0 тыс. рублей,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объем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субвенций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снизился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на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> 979,5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. рублей (на </w:t>
      </w:r>
      <w:r w:rsidR="002F1C62">
        <w:rPr>
          <w:rFonts w:ascii="Times New Roman" w:eastAsia="Times New Roman" w:hAnsi="Times New Roman"/>
          <w:sz w:val="24"/>
          <w:szCs w:val="24"/>
          <w:lang w:eastAsia="ru-RU"/>
        </w:rPr>
        <w:t>4,7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%). </w:t>
      </w:r>
      <w:proofErr w:type="gramEnd"/>
    </w:p>
    <w:p w:rsidR="00E676BC" w:rsidRDefault="00E676BC" w:rsidP="00E676BC">
      <w:pPr>
        <w:spacing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ост дотаций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областного 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бюджета сложился в результате поступления целевых средств в объеме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6 192,7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>. рублей на поддержку сбалансированности бюджетов, в том числе в целях компенсации снижения поступления налоговых и неналоговых доходов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местных бюджетов</w:t>
      </w:r>
      <w:r w:rsidRPr="00BB56B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1720D">
        <w:rPr>
          <w:rFonts w:ascii="Times New Roman" w:hAnsi="Times New Roman"/>
          <w:sz w:val="24"/>
          <w:szCs w:val="24"/>
        </w:rPr>
        <w:t>на реализацию  мероприятий, связанных с обеспечением санитарно-эпидемиологической безопасности при подготовке к проведению общероссийского голосования по вопросу  одобрения изменений в Конституцию Российской Федерации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E676BC" w:rsidRPr="000B4B29" w:rsidRDefault="00E676BC" w:rsidP="00E676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РАСХОДЫ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асходная часть консолидированного бюджета района за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отчетный период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исполнена в объеме </w:t>
      </w:r>
      <w:r w:rsidR="003F4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205 694,1 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тыс. рублей, или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,3</w:t>
      </w:r>
      <w:r w:rsidRPr="00A415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 к годовому плану.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676BC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сравнению с аналогичным периодом прошлого года кассовые расходы в целом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снизились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F4B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7 130,5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тыс.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рублей (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3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%).</w:t>
      </w:r>
    </w:p>
    <w:p w:rsidR="00E676BC" w:rsidRPr="000B4B29" w:rsidRDefault="00E676BC" w:rsidP="00E676BC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структуре расходов бюджета основную долю занимают расходы </w:t>
      </w:r>
      <w:proofErr w:type="gramStart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</w:t>
      </w:r>
      <w:proofErr w:type="gramEnd"/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–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%;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общегосударственные вопросы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</w:t>
      </w:r>
    </w:p>
    <w:p w:rsidR="00E676BC" w:rsidRPr="00203893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национальную экономику – 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,6</w:t>
      </w:r>
      <w:r w:rsidRPr="002038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%; </w:t>
      </w:r>
    </w:p>
    <w:p w:rsidR="00E676BC" w:rsidRDefault="00E676BC" w:rsidP="00E676B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культуру –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8,6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%;  </w:t>
      </w:r>
    </w:p>
    <w:p w:rsidR="00CA6977" w:rsidRPr="003E4CC8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жилищно</w:t>
      </w:r>
      <w:proofErr w:type="spellEnd"/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коммунальное хозяйство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6,0</w:t>
      </w:r>
      <w:r w:rsidRPr="003E4C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A6977" w:rsidRPr="00CA6977" w:rsidRDefault="00CA6977" w:rsidP="00CA697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социальную политику –4,7%.</w:t>
      </w:r>
    </w:p>
    <w:p w:rsidR="00E676BC" w:rsidRDefault="00C0679F" w:rsidP="00E676BC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05AC8" w:rsidRDefault="00005AC8" w:rsidP="00E676BC"/>
    <w:p w:rsidR="00005AC8" w:rsidRPr="000B4B29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отчетный период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муниципальным образованиям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района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направлено межбюджетных трансфертов в объеме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A69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16 961,3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тыс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рублей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или 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55,5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 от запланированного объема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 том числе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дотации 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выравнивание бюджетной обеспеченности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2 399,4 тыс. рублей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5,0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субсидий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8260,1 тыс. рублей или 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субвенций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320,3 тыс. рублей или 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71,0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%, иных межбюджетных трансфертов –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5981,5 тыс. </w:t>
      </w:r>
      <w:proofErr w:type="gramEnd"/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рублей или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%</w:t>
      </w:r>
      <w:r w:rsidR="00D570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05AC8" w:rsidRDefault="00005AC8" w:rsidP="00005A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показателями отчета об исполнении консолидированного бюджет</w:t>
      </w:r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муниципального образования </w:t>
      </w:r>
      <w:proofErr w:type="spellStart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Шабалинский</w:t>
      </w:r>
      <w:proofErr w:type="spellEnd"/>
      <w:r w:rsidRPr="00771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муниципальный район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Кировской области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01.</w:t>
      </w:r>
      <w:r w:rsidR="008D16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0.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B4B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можно ознакомиться на 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сайте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AD2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Pr="00C806DC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http://adm-shabalino.ru/mestnyj-byudzhet-i-byudzhetnyj-protsess-v-munitsipalnom-obrazovanii/otchetnost/418-otchetnost-za-2020-god</w:t>
        </w:r>
      </w:hyperlink>
    </w:p>
    <w:p w:rsidR="00005AC8" w:rsidRDefault="00005AC8" w:rsidP="00E676BC"/>
    <w:sectPr w:rsidR="00005AC8" w:rsidSect="00D2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46CA1"/>
    <w:multiLevelType w:val="hybridMultilevel"/>
    <w:tmpl w:val="645EC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676BC"/>
    <w:rsid w:val="00005AC8"/>
    <w:rsid w:val="000B5C2E"/>
    <w:rsid w:val="001B6841"/>
    <w:rsid w:val="002B21F7"/>
    <w:rsid w:val="002E6D47"/>
    <w:rsid w:val="002F1C62"/>
    <w:rsid w:val="003F4B28"/>
    <w:rsid w:val="004A46A4"/>
    <w:rsid w:val="00561314"/>
    <w:rsid w:val="0058322A"/>
    <w:rsid w:val="00665E0B"/>
    <w:rsid w:val="00711AD2"/>
    <w:rsid w:val="00753C01"/>
    <w:rsid w:val="00793EE9"/>
    <w:rsid w:val="007B0A53"/>
    <w:rsid w:val="008571C1"/>
    <w:rsid w:val="008D1637"/>
    <w:rsid w:val="00951484"/>
    <w:rsid w:val="009C6956"/>
    <w:rsid w:val="009D5632"/>
    <w:rsid w:val="00A62B90"/>
    <w:rsid w:val="00AE2009"/>
    <w:rsid w:val="00BA776F"/>
    <w:rsid w:val="00BF5A7F"/>
    <w:rsid w:val="00C0679F"/>
    <w:rsid w:val="00C5081A"/>
    <w:rsid w:val="00C7691E"/>
    <w:rsid w:val="00CA6977"/>
    <w:rsid w:val="00D232FE"/>
    <w:rsid w:val="00D27B34"/>
    <w:rsid w:val="00D570CE"/>
    <w:rsid w:val="00DF1925"/>
    <w:rsid w:val="00E236C6"/>
    <w:rsid w:val="00E676BC"/>
    <w:rsid w:val="00E84601"/>
    <w:rsid w:val="00EE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A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abalino.ru/mestnyj-byudzhet-i-byudzhetnyj-protsess-v-munitsipalnom-obrazovanii/otchetnost/418-otchetnost-za-2020-god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01.10.2019</c:v>
                </c:pt>
              </c:strCache>
            </c:strRef>
          </c:tx>
          <c:dLbls>
            <c:dLbl>
              <c:idx val="0"/>
              <c:layout>
                <c:manualLayout>
                  <c:x val="4.6296296296296424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4.6296296296296424E-3"/>
                  <c:y val="-5.952380952380950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4.6294473607465716E-3"/>
                  <c:y val="-5.55558680164978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213493.9</c:v>
                </c:pt>
                <c:pt idx="1">
                  <c:v>67827.8</c:v>
                </c:pt>
                <c:pt idx="2">
                  <c:v>145666.1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01.10.2020</c:v>
                </c:pt>
              </c:strCache>
            </c:strRef>
          </c:tx>
          <c:dLbls>
            <c:dLbl>
              <c:idx val="0"/>
              <c:layout>
                <c:manualLayout>
                  <c:x val="3.7037037037037097E-2"/>
                  <c:y val="-3.5714285714285712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1.8518518518518556E-2"/>
                  <c:y val="-7.936507936507941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dLbl>
              <c:idx val="2"/>
              <c:layout>
                <c:manualLayout>
                  <c:x val="3.0092592592592591E-2"/>
                  <c:y val="-1.9841269841269875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Всего доходов</c:v>
                </c:pt>
                <c:pt idx="1">
                  <c:v>Собственные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222162.2</c:v>
                </c:pt>
                <c:pt idx="1">
                  <c:v>60602.2</c:v>
                </c:pt>
                <c:pt idx="2">
                  <c:v>161560</c:v>
                </c:pt>
              </c:numCache>
            </c:numRef>
          </c:val>
        </c:ser>
        <c:dLbls>
          <c:showVal val="1"/>
        </c:dLbls>
        <c:shape val="box"/>
        <c:axId val="80715776"/>
        <c:axId val="80717312"/>
        <c:axId val="0"/>
      </c:bar3DChart>
      <c:catAx>
        <c:axId val="80715776"/>
        <c:scaling>
          <c:orientation val="minMax"/>
        </c:scaling>
        <c:axPos val="b"/>
        <c:numFmt formatCode="General" sourceLinked="1"/>
        <c:majorTickMark val="none"/>
        <c:tickLblPos val="nextTo"/>
        <c:crossAx val="80717312"/>
        <c:crosses val="autoZero"/>
        <c:auto val="1"/>
        <c:lblAlgn val="ctr"/>
        <c:lblOffset val="100"/>
      </c:catAx>
      <c:valAx>
        <c:axId val="80717312"/>
        <c:scaling>
          <c:orientation val="minMax"/>
        </c:scaling>
        <c:delete val="1"/>
        <c:axPos val="l"/>
        <c:numFmt formatCode="General" sourceLinked="1"/>
        <c:tickLblPos val="none"/>
        <c:crossAx val="80715776"/>
        <c:crosses val="autoZero"/>
        <c:crossBetween val="between"/>
      </c:valAx>
      <c:spPr>
        <a:noFill/>
        <a:ln w="25405">
          <a:noFill/>
        </a:ln>
      </c:spPr>
    </c:plotArea>
    <c:legend>
      <c:legendPos val="t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4.6509186351706026E-2"/>
                  <c:y val="-9.749531308586426E-2"/>
                </c:manualLayout>
              </c:layout>
              <c:showVal val="1"/>
            </c:dLbl>
            <c:dLbl>
              <c:idx val="1"/>
              <c:layout>
                <c:manualLayout>
                  <c:x val="1.5361439195100629E-2"/>
                  <c:y val="8.8396137982752226E-2"/>
                </c:manualLayout>
              </c:layout>
              <c:showVal val="1"/>
            </c:dLbl>
            <c:dLbl>
              <c:idx val="2"/>
              <c:layout>
                <c:manualLayout>
                  <c:x val="2.3881780402449721E-2"/>
                  <c:y val="0.14638451443569553"/>
                </c:manualLayout>
              </c:layout>
              <c:showVal val="1"/>
            </c:dLbl>
            <c:dLbl>
              <c:idx val="3"/>
              <c:layout>
                <c:manualLayout>
                  <c:x val="-5.0032808398950135E-5"/>
                  <c:y val="-1.0660854893138382E-2"/>
                </c:manualLayout>
              </c:layout>
              <c:showVal val="1"/>
            </c:dLbl>
            <c:dLbl>
              <c:idx val="4"/>
              <c:layout>
                <c:manualLayout>
                  <c:x val="-3.6134259259259262E-2"/>
                  <c:y val="-4.2089738782652118E-2"/>
                </c:manualLayout>
              </c:layout>
              <c:showVal val="1"/>
            </c:dLbl>
            <c:dLbl>
              <c:idx val="5"/>
              <c:layout>
                <c:manualLayout>
                  <c:x val="-1.6154217701953924E-2"/>
                  <c:y val="-5.2814960629921352E-2"/>
                </c:manualLayout>
              </c:layout>
              <c:showVal val="1"/>
            </c:dLbl>
            <c:dLbl>
              <c:idx val="6"/>
              <c:layout>
                <c:manualLayout>
                  <c:x val="5.3386829250510429E-2"/>
                  <c:y val="-4.0986126734158232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Лист1!$A$2:$A$8</c:f>
              <c:strCache>
                <c:ptCount val="7"/>
                <c:pt idx="0">
                  <c:v>Образование</c:v>
                </c:pt>
                <c:pt idx="1">
                  <c:v>Общегосударственные вопросы</c:v>
                </c:pt>
                <c:pt idx="2">
                  <c:v>Национальная экономика</c:v>
                </c:pt>
                <c:pt idx="3">
                  <c:v>Культура</c:v>
                </c:pt>
                <c:pt idx="4">
                  <c:v>ЖКХ</c:v>
                </c:pt>
                <c:pt idx="5">
                  <c:v>Социальная политика</c:v>
                </c:pt>
                <c:pt idx="6">
                  <c:v>Другие расходы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70182.600000000006</c:v>
                </c:pt>
                <c:pt idx="1">
                  <c:v>42604.4</c:v>
                </c:pt>
                <c:pt idx="2">
                  <c:v>42359.199999999997</c:v>
                </c:pt>
                <c:pt idx="3">
                  <c:v>17663</c:v>
                </c:pt>
                <c:pt idx="4">
                  <c:v>12385.7</c:v>
                </c:pt>
                <c:pt idx="5">
                  <c:v>9594</c:v>
                </c:pt>
                <c:pt idx="6">
                  <c:v>10905.2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B5FAE2-9692-4EC0-9220-B494DE48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2020-10-19T07:43:00Z</cp:lastPrinted>
  <dcterms:created xsi:type="dcterms:W3CDTF">2020-10-16T10:55:00Z</dcterms:created>
  <dcterms:modified xsi:type="dcterms:W3CDTF">2020-10-19T13:03:00Z</dcterms:modified>
</cp:coreProperties>
</file>