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57" w:rsidRDefault="00A91357" w:rsidP="00A91357">
      <w:pPr>
        <w:rPr>
          <w:sz w:val="32"/>
          <w:szCs w:val="32"/>
        </w:rPr>
      </w:pPr>
    </w:p>
    <w:p w:rsidR="00A91357" w:rsidRPr="00A91357" w:rsidRDefault="00A91357" w:rsidP="00A91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357">
        <w:rPr>
          <w:rFonts w:ascii="Times New Roman" w:hAnsi="Times New Roman" w:cs="Times New Roman"/>
          <w:b/>
          <w:sz w:val="24"/>
          <w:szCs w:val="24"/>
        </w:rPr>
        <w:t xml:space="preserve">ГОСТОВСКАЯ СЕЛЬСКАЯ ДУМА                             </w:t>
      </w:r>
    </w:p>
    <w:p w:rsidR="00A91357" w:rsidRPr="00A91357" w:rsidRDefault="00A91357" w:rsidP="00A91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357">
        <w:rPr>
          <w:rFonts w:ascii="Times New Roman" w:hAnsi="Times New Roman" w:cs="Times New Roman"/>
          <w:b/>
          <w:sz w:val="24"/>
          <w:szCs w:val="24"/>
        </w:rPr>
        <w:t xml:space="preserve"> ШАБАЛИНСКОГО РАЙОНА КИРОВСКОЙ ОБЛАСТИ</w:t>
      </w:r>
    </w:p>
    <w:p w:rsidR="00A91357" w:rsidRPr="00A91357" w:rsidRDefault="00A91357" w:rsidP="00A91357">
      <w:pPr>
        <w:rPr>
          <w:rFonts w:ascii="Times New Roman" w:hAnsi="Times New Roman" w:cs="Times New Roman"/>
          <w:b/>
          <w:sz w:val="24"/>
          <w:szCs w:val="24"/>
        </w:rPr>
      </w:pPr>
      <w:r w:rsidRPr="00A913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91357" w:rsidRPr="00A91357" w:rsidRDefault="00A91357" w:rsidP="00A91357">
      <w:pPr>
        <w:rPr>
          <w:rFonts w:ascii="Times New Roman" w:hAnsi="Times New Roman" w:cs="Times New Roman"/>
          <w:b/>
          <w:sz w:val="24"/>
          <w:szCs w:val="24"/>
        </w:rPr>
      </w:pPr>
      <w:r w:rsidRPr="00A913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gramStart"/>
      <w:r w:rsidRPr="00A9135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9135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91357" w:rsidRPr="00A91357" w:rsidRDefault="00A91357" w:rsidP="00A91357">
      <w:pPr>
        <w:rPr>
          <w:rFonts w:ascii="Times New Roman" w:hAnsi="Times New Roman" w:cs="Times New Roman"/>
          <w:b/>
          <w:sz w:val="24"/>
          <w:szCs w:val="24"/>
        </w:rPr>
      </w:pPr>
    </w:p>
    <w:p w:rsidR="00A91357" w:rsidRPr="00A91357" w:rsidRDefault="00A91357" w:rsidP="00A91357">
      <w:pPr>
        <w:rPr>
          <w:rFonts w:ascii="Times New Roman" w:hAnsi="Times New Roman" w:cs="Times New Roman"/>
          <w:b/>
          <w:sz w:val="24"/>
          <w:szCs w:val="24"/>
        </w:rPr>
      </w:pPr>
      <w:r w:rsidRPr="00A91357">
        <w:rPr>
          <w:rFonts w:ascii="Times New Roman" w:hAnsi="Times New Roman" w:cs="Times New Roman"/>
          <w:b/>
          <w:sz w:val="24"/>
          <w:szCs w:val="24"/>
        </w:rPr>
        <w:t xml:space="preserve">05.05.2017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91357">
        <w:rPr>
          <w:rFonts w:ascii="Times New Roman" w:hAnsi="Times New Roman" w:cs="Times New Roman"/>
          <w:b/>
          <w:sz w:val="24"/>
          <w:szCs w:val="24"/>
        </w:rPr>
        <w:t>№ 40/189</w:t>
      </w:r>
    </w:p>
    <w:p w:rsidR="00A91357" w:rsidRPr="00A91357" w:rsidRDefault="00A91357" w:rsidP="00A91357">
      <w:pPr>
        <w:rPr>
          <w:rFonts w:ascii="Times New Roman" w:hAnsi="Times New Roman" w:cs="Times New Roman"/>
          <w:b/>
          <w:sz w:val="24"/>
          <w:szCs w:val="24"/>
        </w:rPr>
      </w:pPr>
    </w:p>
    <w:p w:rsidR="00A91357" w:rsidRPr="00A91357" w:rsidRDefault="00A91357" w:rsidP="00A91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357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A9135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A91357">
        <w:rPr>
          <w:rFonts w:ascii="Times New Roman" w:hAnsi="Times New Roman" w:cs="Times New Roman"/>
          <w:b/>
          <w:sz w:val="24"/>
          <w:szCs w:val="24"/>
        </w:rPr>
        <w:t>остовский</w:t>
      </w:r>
    </w:p>
    <w:p w:rsidR="00A91357" w:rsidRPr="00A91357" w:rsidRDefault="00A91357" w:rsidP="00A91357">
      <w:pPr>
        <w:rPr>
          <w:rFonts w:ascii="Times New Roman" w:hAnsi="Times New Roman" w:cs="Times New Roman"/>
          <w:b/>
          <w:sz w:val="24"/>
          <w:szCs w:val="24"/>
        </w:rPr>
      </w:pPr>
    </w:p>
    <w:p w:rsidR="00A91357" w:rsidRPr="00A91357" w:rsidRDefault="00A91357" w:rsidP="00A91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357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</w:p>
    <w:p w:rsidR="00A91357" w:rsidRPr="00A91357" w:rsidRDefault="00A91357" w:rsidP="00A91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357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Гостовское сельское поселение Шабалинского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357">
        <w:rPr>
          <w:rFonts w:ascii="Times New Roman" w:hAnsi="Times New Roman" w:cs="Times New Roman"/>
          <w:b/>
          <w:sz w:val="24"/>
          <w:szCs w:val="24"/>
        </w:rPr>
        <w:t xml:space="preserve">Кировской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35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357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A91357" w:rsidRPr="00A91357" w:rsidRDefault="00A91357" w:rsidP="00A91357">
      <w:pPr>
        <w:rPr>
          <w:rFonts w:ascii="Times New Roman" w:hAnsi="Times New Roman" w:cs="Times New Roman"/>
          <w:b/>
          <w:sz w:val="24"/>
          <w:szCs w:val="24"/>
        </w:rPr>
      </w:pPr>
    </w:p>
    <w:p w:rsidR="00A91357" w:rsidRPr="00A91357" w:rsidRDefault="00A91357" w:rsidP="00A91357">
      <w:pPr>
        <w:jc w:val="both"/>
        <w:rPr>
          <w:rFonts w:ascii="Times New Roman" w:hAnsi="Times New Roman" w:cs="Times New Roman"/>
          <w:sz w:val="24"/>
          <w:szCs w:val="24"/>
        </w:rPr>
      </w:pPr>
      <w:r w:rsidRPr="00A91357">
        <w:rPr>
          <w:rFonts w:ascii="Times New Roman" w:hAnsi="Times New Roman" w:cs="Times New Roman"/>
          <w:sz w:val="24"/>
          <w:szCs w:val="24"/>
        </w:rPr>
        <w:t xml:space="preserve">                           Заслушав отчет об исполнении бюджета муниципального образования  Гостовское сельское поселение Шабалинского района Кировской области за 2016 год, Гостовская сельская Дума РЕШИЛА</w:t>
      </w:r>
      <w:proofErr w:type="gramStart"/>
      <w:r w:rsidRPr="00A913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91357" w:rsidRPr="00A91357" w:rsidRDefault="00A91357" w:rsidP="00A91357">
      <w:pPr>
        <w:jc w:val="both"/>
        <w:rPr>
          <w:rFonts w:ascii="Times New Roman" w:hAnsi="Times New Roman" w:cs="Times New Roman"/>
          <w:sz w:val="24"/>
          <w:szCs w:val="24"/>
        </w:rPr>
      </w:pPr>
      <w:r w:rsidRPr="00A91357">
        <w:rPr>
          <w:rFonts w:ascii="Times New Roman" w:hAnsi="Times New Roman" w:cs="Times New Roman"/>
          <w:sz w:val="24"/>
          <w:szCs w:val="24"/>
        </w:rPr>
        <w:t xml:space="preserve">                1. Утвердить отчет об исполнении бюджета муниципального образования Гостовского сельского поселения Шабалинского района Кировской области  за 2016 год по доходам в сумме 2649,99 тыс</w:t>
      </w:r>
      <w:proofErr w:type="gramStart"/>
      <w:r w:rsidRPr="00A9135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91357">
        <w:rPr>
          <w:rFonts w:ascii="Times New Roman" w:hAnsi="Times New Roman" w:cs="Times New Roman"/>
          <w:sz w:val="24"/>
          <w:szCs w:val="24"/>
        </w:rPr>
        <w:t xml:space="preserve">уб., по расходам в сумме 2472,31 тыс.руб. с </w:t>
      </w:r>
      <w:proofErr w:type="spellStart"/>
      <w:r w:rsidRPr="00A91357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A91357">
        <w:rPr>
          <w:rFonts w:ascii="Times New Roman" w:hAnsi="Times New Roman" w:cs="Times New Roman"/>
          <w:sz w:val="24"/>
          <w:szCs w:val="24"/>
        </w:rPr>
        <w:t xml:space="preserve"> в объеме 177,68 тыс.рублей с показателями:</w:t>
      </w:r>
    </w:p>
    <w:p w:rsidR="00A91357" w:rsidRPr="00A91357" w:rsidRDefault="00A91357" w:rsidP="00A91357">
      <w:pPr>
        <w:jc w:val="both"/>
        <w:rPr>
          <w:rFonts w:ascii="Times New Roman" w:hAnsi="Times New Roman" w:cs="Times New Roman"/>
          <w:sz w:val="24"/>
          <w:szCs w:val="24"/>
        </w:rPr>
      </w:pPr>
      <w:r w:rsidRPr="00A91357">
        <w:rPr>
          <w:rFonts w:ascii="Times New Roman" w:hAnsi="Times New Roman" w:cs="Times New Roman"/>
          <w:sz w:val="24"/>
          <w:szCs w:val="24"/>
        </w:rPr>
        <w:tab/>
        <w:t>по доходам бюджета муниципального образования Гостовского сельского поселения Шабалинского района Кировской области  за 2016 год по кодам доходов, подвидов доходов, классификации операций сектора государственного управления, относящихся к доходам бюджета, согласно приложению 1. Прилагается;</w:t>
      </w:r>
    </w:p>
    <w:p w:rsidR="00A91357" w:rsidRPr="00A91357" w:rsidRDefault="00A91357" w:rsidP="00A91357">
      <w:pPr>
        <w:jc w:val="both"/>
        <w:rPr>
          <w:rFonts w:ascii="Times New Roman" w:hAnsi="Times New Roman" w:cs="Times New Roman"/>
          <w:sz w:val="24"/>
          <w:szCs w:val="24"/>
        </w:rPr>
      </w:pPr>
      <w:r w:rsidRPr="00A91357">
        <w:rPr>
          <w:rFonts w:ascii="Times New Roman" w:hAnsi="Times New Roman" w:cs="Times New Roman"/>
          <w:sz w:val="24"/>
          <w:szCs w:val="24"/>
        </w:rPr>
        <w:tab/>
        <w:t>по доходам бюджета муниципального образования Гостовское сельское поселение Шабалинского района Кировской области за 2016 год по кодам классификации доходов бюджетов, согласно приложению 2. Прилагается;</w:t>
      </w:r>
    </w:p>
    <w:p w:rsidR="00A91357" w:rsidRPr="00A91357" w:rsidRDefault="00A91357" w:rsidP="00A91357">
      <w:pPr>
        <w:jc w:val="both"/>
        <w:rPr>
          <w:rFonts w:ascii="Times New Roman" w:hAnsi="Times New Roman" w:cs="Times New Roman"/>
          <w:sz w:val="24"/>
          <w:szCs w:val="24"/>
        </w:rPr>
      </w:pPr>
      <w:r w:rsidRPr="00A91357">
        <w:rPr>
          <w:rFonts w:ascii="Times New Roman" w:hAnsi="Times New Roman" w:cs="Times New Roman"/>
          <w:sz w:val="24"/>
          <w:szCs w:val="24"/>
        </w:rPr>
        <w:tab/>
        <w:t>по ведомственной структуре расходов бюджета муниципального образования Гостовское сельское поселение Шабалинского района Кировской области за 2016 год, согласно 3. Прилагается;</w:t>
      </w:r>
    </w:p>
    <w:p w:rsidR="00A91357" w:rsidRPr="00A91357" w:rsidRDefault="00A91357" w:rsidP="00A91357">
      <w:pPr>
        <w:jc w:val="both"/>
        <w:rPr>
          <w:rFonts w:ascii="Times New Roman" w:hAnsi="Times New Roman" w:cs="Times New Roman"/>
          <w:sz w:val="24"/>
          <w:szCs w:val="24"/>
        </w:rPr>
      </w:pPr>
      <w:r w:rsidRPr="00A91357">
        <w:rPr>
          <w:rFonts w:ascii="Times New Roman" w:hAnsi="Times New Roman" w:cs="Times New Roman"/>
          <w:sz w:val="24"/>
          <w:szCs w:val="24"/>
        </w:rPr>
        <w:tab/>
        <w:t xml:space="preserve">по расходам бюджета муниципального образования Гостовское сельское поселение Шабалинского района Кировской области по разделам, подразделам, классификации расходов бюджетов в 2016 году </w:t>
      </w:r>
      <w:proofErr w:type="gramStart"/>
      <w:r w:rsidRPr="00A9135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A91357">
        <w:rPr>
          <w:rFonts w:ascii="Times New Roman" w:hAnsi="Times New Roman" w:cs="Times New Roman"/>
          <w:sz w:val="24"/>
          <w:szCs w:val="24"/>
        </w:rPr>
        <w:t xml:space="preserve"> 4. Прилагается;</w:t>
      </w:r>
    </w:p>
    <w:p w:rsidR="00A91357" w:rsidRPr="00A91357" w:rsidRDefault="00A91357" w:rsidP="00A91357">
      <w:pPr>
        <w:jc w:val="both"/>
        <w:rPr>
          <w:rFonts w:ascii="Times New Roman" w:hAnsi="Times New Roman" w:cs="Times New Roman"/>
          <w:sz w:val="24"/>
          <w:szCs w:val="24"/>
        </w:rPr>
      </w:pPr>
      <w:r w:rsidRPr="00A91357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A91357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 муниципального образования Гостовское сельское поселение Шабалинского района Кировской области в 2016 году по кодам классификации источников финансирования дефицитов бюджетов, в том числе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бюджета, согласно приложения 5.</w:t>
      </w:r>
      <w:proofErr w:type="gramEnd"/>
      <w:r w:rsidRPr="00A91357">
        <w:rPr>
          <w:rFonts w:ascii="Times New Roman" w:hAnsi="Times New Roman" w:cs="Times New Roman"/>
          <w:sz w:val="24"/>
          <w:szCs w:val="24"/>
        </w:rPr>
        <w:t xml:space="preserve"> Прилагается;</w:t>
      </w:r>
    </w:p>
    <w:p w:rsidR="00A91357" w:rsidRPr="00A91357" w:rsidRDefault="00A91357" w:rsidP="00A91357">
      <w:pPr>
        <w:jc w:val="both"/>
        <w:rPr>
          <w:rFonts w:ascii="Times New Roman" w:hAnsi="Times New Roman" w:cs="Times New Roman"/>
          <w:sz w:val="24"/>
          <w:szCs w:val="24"/>
        </w:rPr>
      </w:pPr>
      <w:r w:rsidRPr="00A91357">
        <w:rPr>
          <w:rFonts w:ascii="Times New Roman" w:hAnsi="Times New Roman" w:cs="Times New Roman"/>
          <w:sz w:val="24"/>
          <w:szCs w:val="24"/>
        </w:rPr>
        <w:tab/>
        <w:t xml:space="preserve">по расходам бюджета муниципального образования Гостовское сельское поселение Шабалинского района Кировской области в 2016 году на реализацию муниципальных программ, </w:t>
      </w:r>
      <w:proofErr w:type="gramStart"/>
      <w:r w:rsidRPr="00A9135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A91357">
        <w:rPr>
          <w:rFonts w:ascii="Times New Roman" w:hAnsi="Times New Roman" w:cs="Times New Roman"/>
          <w:sz w:val="24"/>
          <w:szCs w:val="24"/>
        </w:rPr>
        <w:t xml:space="preserve"> 6. Прилагается;</w:t>
      </w:r>
    </w:p>
    <w:p w:rsidR="00A91357" w:rsidRPr="00A91357" w:rsidRDefault="00A91357" w:rsidP="00A91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357" w:rsidRPr="00A91357" w:rsidRDefault="00A91357" w:rsidP="00A91357">
      <w:pPr>
        <w:jc w:val="both"/>
        <w:rPr>
          <w:rFonts w:ascii="Times New Roman" w:hAnsi="Times New Roman" w:cs="Times New Roman"/>
          <w:sz w:val="24"/>
          <w:szCs w:val="24"/>
        </w:rPr>
      </w:pPr>
      <w:r w:rsidRPr="00A91357">
        <w:rPr>
          <w:rFonts w:ascii="Times New Roman" w:hAnsi="Times New Roman" w:cs="Times New Roman"/>
          <w:sz w:val="24"/>
          <w:szCs w:val="24"/>
        </w:rPr>
        <w:tab/>
        <w:t>2.Данное решение и отчет об исполнении  бюджета Гостовское сельского поселения Шабалинского района Кировской области за 2016 год  опубликовать в сборнике нормативных правовых актов органов местного самоуправления Гостовского  сельского поселения Шабалинского района Кировской области.</w:t>
      </w:r>
      <w:r w:rsidRPr="00A91357">
        <w:rPr>
          <w:rFonts w:ascii="Times New Roman" w:hAnsi="Times New Roman" w:cs="Times New Roman"/>
          <w:sz w:val="24"/>
          <w:szCs w:val="24"/>
        </w:rPr>
        <w:tab/>
      </w:r>
    </w:p>
    <w:p w:rsidR="00A91357" w:rsidRPr="00A91357" w:rsidRDefault="00A91357" w:rsidP="00A91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357" w:rsidRPr="00A91357" w:rsidRDefault="00A91357" w:rsidP="00A91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357" w:rsidRPr="00A91357" w:rsidRDefault="00A91357" w:rsidP="00A91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357" w:rsidRPr="00A91357" w:rsidRDefault="00A91357" w:rsidP="00A91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357" w:rsidRPr="00A91357" w:rsidRDefault="00A91357" w:rsidP="00A91357">
      <w:pPr>
        <w:jc w:val="both"/>
        <w:rPr>
          <w:rFonts w:ascii="Times New Roman" w:hAnsi="Times New Roman" w:cs="Times New Roman"/>
          <w:sz w:val="24"/>
          <w:szCs w:val="24"/>
        </w:rPr>
      </w:pPr>
      <w:r w:rsidRPr="00A9135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357"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</w:p>
    <w:p w:rsidR="00A91357" w:rsidRPr="00A91357" w:rsidRDefault="00A91357" w:rsidP="00A91357">
      <w:pPr>
        <w:rPr>
          <w:rFonts w:ascii="Times New Roman" w:hAnsi="Times New Roman" w:cs="Times New Roman"/>
          <w:sz w:val="24"/>
          <w:szCs w:val="24"/>
        </w:rPr>
      </w:pPr>
      <w:r w:rsidRPr="00A91357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357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               Л.А.Сивкова                                                         </w:t>
      </w:r>
    </w:p>
    <w:p w:rsidR="00A91357" w:rsidRPr="00A91357" w:rsidRDefault="00A91357" w:rsidP="00A91357">
      <w:pPr>
        <w:rPr>
          <w:rFonts w:ascii="Times New Roman" w:hAnsi="Times New Roman" w:cs="Times New Roman"/>
          <w:sz w:val="24"/>
          <w:szCs w:val="24"/>
        </w:rPr>
      </w:pPr>
      <w:r w:rsidRPr="00A91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A91357" w:rsidRPr="00A91357" w:rsidRDefault="00A91357" w:rsidP="00A91357">
      <w:pPr>
        <w:rPr>
          <w:rFonts w:ascii="Times New Roman" w:hAnsi="Times New Roman" w:cs="Times New Roman"/>
          <w:sz w:val="24"/>
          <w:szCs w:val="24"/>
        </w:rPr>
      </w:pPr>
    </w:p>
    <w:p w:rsidR="00A91357" w:rsidRPr="00A91357" w:rsidRDefault="00A91357" w:rsidP="00A91357">
      <w:pPr>
        <w:rPr>
          <w:rFonts w:ascii="Times New Roman" w:hAnsi="Times New Roman" w:cs="Times New Roman"/>
          <w:sz w:val="24"/>
          <w:szCs w:val="24"/>
        </w:rPr>
      </w:pPr>
    </w:p>
    <w:p w:rsidR="00A91357" w:rsidRDefault="00A91357" w:rsidP="00A91357">
      <w:pPr>
        <w:rPr>
          <w:rFonts w:ascii="Times New Roman" w:hAnsi="Times New Roman" w:cs="Times New Roman"/>
          <w:sz w:val="24"/>
          <w:szCs w:val="24"/>
        </w:rPr>
      </w:pPr>
    </w:p>
    <w:p w:rsidR="007D26AE" w:rsidRDefault="007D26AE" w:rsidP="00A91357">
      <w:pPr>
        <w:rPr>
          <w:rFonts w:ascii="Times New Roman" w:hAnsi="Times New Roman" w:cs="Times New Roman"/>
          <w:sz w:val="24"/>
          <w:szCs w:val="24"/>
        </w:rPr>
      </w:pPr>
    </w:p>
    <w:p w:rsidR="007D26AE" w:rsidRDefault="007D26AE" w:rsidP="00A91357">
      <w:pPr>
        <w:rPr>
          <w:rFonts w:ascii="Times New Roman" w:hAnsi="Times New Roman" w:cs="Times New Roman"/>
          <w:sz w:val="24"/>
          <w:szCs w:val="24"/>
        </w:rPr>
      </w:pPr>
    </w:p>
    <w:p w:rsidR="007D26AE" w:rsidRDefault="007D26AE" w:rsidP="00A91357">
      <w:pPr>
        <w:rPr>
          <w:rFonts w:ascii="Times New Roman" w:hAnsi="Times New Roman" w:cs="Times New Roman"/>
          <w:sz w:val="24"/>
          <w:szCs w:val="24"/>
        </w:rPr>
      </w:pPr>
    </w:p>
    <w:p w:rsidR="007D26AE" w:rsidRDefault="007D26AE" w:rsidP="00A91357">
      <w:pPr>
        <w:rPr>
          <w:rFonts w:ascii="Times New Roman" w:hAnsi="Times New Roman" w:cs="Times New Roman"/>
          <w:sz w:val="24"/>
          <w:szCs w:val="24"/>
        </w:rPr>
      </w:pPr>
    </w:p>
    <w:p w:rsidR="007D26AE" w:rsidRDefault="007D26AE" w:rsidP="00A91357">
      <w:pPr>
        <w:rPr>
          <w:rFonts w:ascii="Times New Roman" w:hAnsi="Times New Roman" w:cs="Times New Roman"/>
          <w:sz w:val="24"/>
          <w:szCs w:val="24"/>
        </w:rPr>
      </w:pPr>
    </w:p>
    <w:p w:rsidR="007D26AE" w:rsidRDefault="007D26AE" w:rsidP="00A91357">
      <w:pPr>
        <w:rPr>
          <w:rFonts w:ascii="Times New Roman" w:hAnsi="Times New Roman" w:cs="Times New Roman"/>
          <w:sz w:val="24"/>
          <w:szCs w:val="24"/>
        </w:rPr>
      </w:pPr>
    </w:p>
    <w:p w:rsidR="007D26AE" w:rsidRDefault="007D26AE" w:rsidP="00A91357">
      <w:pPr>
        <w:rPr>
          <w:rFonts w:ascii="Times New Roman" w:hAnsi="Times New Roman" w:cs="Times New Roman"/>
          <w:sz w:val="24"/>
          <w:szCs w:val="24"/>
        </w:rPr>
      </w:pPr>
    </w:p>
    <w:p w:rsidR="007D26AE" w:rsidRPr="00A91357" w:rsidRDefault="007D26AE" w:rsidP="00A91357">
      <w:pPr>
        <w:rPr>
          <w:rFonts w:ascii="Times New Roman" w:hAnsi="Times New Roman" w:cs="Times New Roman"/>
          <w:sz w:val="24"/>
          <w:szCs w:val="24"/>
        </w:rPr>
      </w:pPr>
    </w:p>
    <w:p w:rsidR="00A91357" w:rsidRPr="00A91357" w:rsidRDefault="00A91357" w:rsidP="00A91357">
      <w:pPr>
        <w:rPr>
          <w:rFonts w:ascii="Times New Roman" w:hAnsi="Times New Roman" w:cs="Times New Roman"/>
          <w:sz w:val="24"/>
          <w:szCs w:val="24"/>
        </w:rPr>
      </w:pPr>
    </w:p>
    <w:p w:rsidR="007D26AE" w:rsidRPr="007D26AE" w:rsidRDefault="007D26AE" w:rsidP="007D26AE">
      <w:pPr>
        <w:pStyle w:val="2"/>
        <w:spacing w:line="240" w:lineRule="auto"/>
        <w:jc w:val="center"/>
        <w:rPr>
          <w:b/>
        </w:rPr>
      </w:pPr>
      <w:r w:rsidRPr="007D26AE">
        <w:rPr>
          <w:b/>
        </w:rPr>
        <w:t>ПОЯСНИТЕЛЬНАЯ ЗАПИСКА К ОТЧЕТУ</w:t>
      </w:r>
    </w:p>
    <w:p w:rsidR="007D26AE" w:rsidRPr="007D26AE" w:rsidRDefault="007D26AE" w:rsidP="007D26AE">
      <w:pPr>
        <w:pStyle w:val="2"/>
        <w:spacing w:line="240" w:lineRule="auto"/>
        <w:jc w:val="center"/>
        <w:rPr>
          <w:b/>
        </w:rPr>
      </w:pPr>
      <w:r w:rsidRPr="007D26AE">
        <w:rPr>
          <w:b/>
        </w:rPr>
        <w:t xml:space="preserve"> об исполнении бюджета муниципального образования Гостовское сельское поселение Шабалинского района Кировской области за 2016 год</w:t>
      </w:r>
    </w:p>
    <w:p w:rsidR="007D26AE" w:rsidRPr="007D26AE" w:rsidRDefault="007D26AE" w:rsidP="007D26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AE" w:rsidRPr="007D26AE" w:rsidRDefault="007D26AE" w:rsidP="007D26AE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6AE">
        <w:rPr>
          <w:rFonts w:ascii="Times New Roman" w:hAnsi="Times New Roman" w:cs="Times New Roman"/>
          <w:sz w:val="24"/>
          <w:szCs w:val="24"/>
        </w:rPr>
        <w:t>Отчет об исполнении  бюджета муниципального образования за 2016 год сформирован на основании сводной бюджетной отчетности главных распорядителей бюджетных средств, главных администраторов доходов бюджета и главных администраторов источников финансирования дефицита бюджета в соответствии с бюджетной классификацией, утвержденной решением Гостовской сельской Думы от 14.12.2015 №  28/128  «О  бюджете муниципального образования Гостовское сельское поселение Шабалинского района  Кировской области на   2016 год»,  с учетом</w:t>
      </w:r>
      <w:proofErr w:type="gramEnd"/>
      <w:r w:rsidRPr="007D26AE">
        <w:rPr>
          <w:rFonts w:ascii="Times New Roman" w:hAnsi="Times New Roman" w:cs="Times New Roman"/>
          <w:sz w:val="24"/>
          <w:szCs w:val="24"/>
        </w:rPr>
        <w:t xml:space="preserve"> внесенных изменений. В отчете плановые назначения отражены в соответствии с уточненной сводной бюджетной росписью бюджета муниципального образования Гостовского сельского поселения Шабалинского района  Кировской области на 2016 год.</w:t>
      </w:r>
    </w:p>
    <w:p w:rsidR="007D26AE" w:rsidRPr="007D26AE" w:rsidRDefault="007D26AE" w:rsidP="007D26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>В течение года в решение сельской Думы от 14.12.2015 № 28/128  «О  бюджете муниципального образования Гостовское сельское поселение Шабалинского района  Кировской области на  2016 год» внесено 7 изменений, в результате которых доходы были увеличены на 532,5 тыс. рублей, расходы на 825,57 тыс</w:t>
      </w:r>
      <w:proofErr w:type="gramStart"/>
      <w:r w:rsidRPr="007D26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D26AE">
        <w:rPr>
          <w:rFonts w:ascii="Times New Roman" w:hAnsi="Times New Roman" w:cs="Times New Roman"/>
          <w:sz w:val="24"/>
          <w:szCs w:val="24"/>
        </w:rPr>
        <w:t>уб., дефицит на 293,07 тыс.руб.</w:t>
      </w:r>
    </w:p>
    <w:p w:rsidR="007D26AE" w:rsidRPr="007D26AE" w:rsidRDefault="007D26AE" w:rsidP="007D26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Гостовское сельское поселение за 2016 год исполнен по доходам в сумме 2649,99 тыс. рублей или на 95,0% к уточненному плану, по расходам 2472,31 тыс. рублей, или на 78,55 % к уточненному плану. </w:t>
      </w:r>
      <w:proofErr w:type="spellStart"/>
      <w:r w:rsidRPr="007D26AE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7D26AE">
        <w:rPr>
          <w:rFonts w:ascii="Times New Roman" w:hAnsi="Times New Roman" w:cs="Times New Roman"/>
          <w:sz w:val="24"/>
          <w:szCs w:val="24"/>
        </w:rPr>
        <w:t xml:space="preserve">  бюджета составил 177,68 тыс. рублей.</w:t>
      </w:r>
    </w:p>
    <w:p w:rsidR="007D26AE" w:rsidRPr="007D26AE" w:rsidRDefault="007D26AE" w:rsidP="007D26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6AE" w:rsidRPr="007D26AE" w:rsidRDefault="007D26AE" w:rsidP="007D26A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>ДОХОДЫ</w:t>
      </w:r>
    </w:p>
    <w:p w:rsidR="007D26AE" w:rsidRPr="007D26AE" w:rsidRDefault="007D26AE" w:rsidP="007D26A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D26AE" w:rsidRPr="007D26AE" w:rsidRDefault="007D26AE" w:rsidP="007D26AE">
      <w:pPr>
        <w:pStyle w:val="a3"/>
        <w:ind w:firstLine="709"/>
        <w:jc w:val="both"/>
        <w:rPr>
          <w:sz w:val="24"/>
        </w:rPr>
      </w:pPr>
      <w:r w:rsidRPr="007D26AE">
        <w:rPr>
          <w:sz w:val="24"/>
        </w:rPr>
        <w:t>Прогноз доходов бюджета муниципального образования Гостовское сельское поселение на 2016 год рассчитывался по оптимистическому варианту показателей развития экономики поселения. В связи с чем, в отчетном году ставилась задача по привлечению доходов в плановом объеме.</w:t>
      </w:r>
    </w:p>
    <w:p w:rsidR="007D26AE" w:rsidRPr="007D26AE" w:rsidRDefault="007D26AE" w:rsidP="007D26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6AE" w:rsidRPr="007D26AE" w:rsidRDefault="007D26AE" w:rsidP="007D26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 xml:space="preserve">Доходная часть бюджета муниципального образования Гостовское сельское поселение с учетом безвозмездных перечислений из областного бюджета за 2016 год </w:t>
      </w:r>
      <w:r w:rsidRPr="007D26AE">
        <w:rPr>
          <w:rFonts w:ascii="Times New Roman" w:hAnsi="Times New Roman" w:cs="Times New Roman"/>
          <w:sz w:val="24"/>
          <w:szCs w:val="24"/>
        </w:rPr>
        <w:lastRenderedPageBreak/>
        <w:t>исполнена в сумме 2649,99 тыс. рублей, или на 95,0 % к уточненному плану, ниже запланированных сумм поступило на  139,4 тыс. рублей.</w:t>
      </w:r>
    </w:p>
    <w:p w:rsidR="007D26AE" w:rsidRPr="007D26AE" w:rsidRDefault="007D26AE" w:rsidP="007D26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>В отчетном году первоначально утвержденные плановые показатели по доходам увеличены на 532,5 тыс. рублей или на 23,6 %. Корректировка доходов в основном обусловлена изменениями макроэкономических показателей развития поселения, складывающейся динамикой поступлений доходов, а также принятием решений Гостовской сельской Думы по уточнению объема средств. По основным видам доходов изменение плановых показателей представлено в следующей таблице:</w:t>
      </w:r>
    </w:p>
    <w:p w:rsidR="007D26AE" w:rsidRPr="007D26AE" w:rsidRDefault="007D26AE" w:rsidP="007D26A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701"/>
        <w:gridCol w:w="1701"/>
        <w:gridCol w:w="1559"/>
        <w:gridCol w:w="1276"/>
      </w:tblGrid>
      <w:tr w:rsidR="007D26AE" w:rsidRPr="007D26AE" w:rsidTr="0071554E">
        <w:trPr>
          <w:trHeight w:val="484"/>
        </w:trPr>
        <w:tc>
          <w:tcPr>
            <w:tcW w:w="3119" w:type="dxa"/>
            <w:shd w:val="clear" w:color="auto" w:fill="auto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701" w:type="dxa"/>
            <w:shd w:val="clear" w:color="auto" w:fill="auto"/>
          </w:tcPr>
          <w:p w:rsidR="007D26AE" w:rsidRPr="007D26AE" w:rsidRDefault="007D26AE" w:rsidP="0071554E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1701" w:type="dxa"/>
            <w:shd w:val="clear" w:color="auto" w:fill="auto"/>
          </w:tcPr>
          <w:p w:rsidR="007D26AE" w:rsidRPr="007D26AE" w:rsidRDefault="007D26AE" w:rsidP="0071554E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559" w:type="dxa"/>
            <w:shd w:val="clear" w:color="auto" w:fill="auto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Сумма увеличения (снижения)</w:t>
            </w:r>
          </w:p>
        </w:tc>
        <w:tc>
          <w:tcPr>
            <w:tcW w:w="1276" w:type="dxa"/>
          </w:tcPr>
          <w:p w:rsidR="007D26AE" w:rsidRPr="007D26AE" w:rsidRDefault="007D26AE" w:rsidP="0071554E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% увеличения, снижения плана</w:t>
            </w:r>
          </w:p>
        </w:tc>
      </w:tr>
      <w:tr w:rsidR="007D26AE" w:rsidRPr="007D26AE" w:rsidTr="0071554E">
        <w:trPr>
          <w:trHeight w:val="358"/>
        </w:trPr>
        <w:tc>
          <w:tcPr>
            <w:tcW w:w="3119" w:type="dxa"/>
            <w:shd w:val="clear" w:color="auto" w:fill="auto"/>
            <w:vAlign w:val="center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 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sz w:val="24"/>
                <w:szCs w:val="24"/>
              </w:rPr>
              <w:t>1218,8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sz w:val="24"/>
                <w:szCs w:val="24"/>
              </w:rPr>
              <w:t>1549,1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sz w:val="24"/>
                <w:szCs w:val="24"/>
              </w:rPr>
              <w:t>330,3</w:t>
            </w:r>
          </w:p>
        </w:tc>
        <w:tc>
          <w:tcPr>
            <w:tcW w:w="1276" w:type="dxa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sz w:val="24"/>
                <w:szCs w:val="24"/>
              </w:rPr>
              <w:t>127,1</w:t>
            </w:r>
          </w:p>
        </w:tc>
      </w:tr>
      <w:tr w:rsidR="007D26AE" w:rsidRPr="007D26AE" w:rsidTr="0071554E">
        <w:trPr>
          <w:trHeight w:val="358"/>
        </w:trPr>
        <w:tc>
          <w:tcPr>
            <w:tcW w:w="3119" w:type="dxa"/>
            <w:shd w:val="clear" w:color="auto" w:fill="auto"/>
            <w:vAlign w:val="center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488,9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758,7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276" w:type="dxa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</w:tr>
      <w:tr w:rsidR="007D26AE" w:rsidRPr="007D26AE" w:rsidTr="0071554E">
        <w:trPr>
          <w:trHeight w:val="358"/>
        </w:trPr>
        <w:tc>
          <w:tcPr>
            <w:tcW w:w="3119" w:type="dxa"/>
            <w:shd w:val="clear" w:color="auto" w:fill="auto"/>
            <w:vAlign w:val="center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акцизы на нефтепродукты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568,5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568,5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6AE" w:rsidRPr="007D26AE" w:rsidTr="0071554E">
        <w:trPr>
          <w:trHeight w:val="358"/>
        </w:trPr>
        <w:tc>
          <w:tcPr>
            <w:tcW w:w="3119" w:type="dxa"/>
            <w:shd w:val="clear" w:color="auto" w:fill="auto"/>
            <w:vAlign w:val="center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276" w:type="dxa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740,6</w:t>
            </w:r>
          </w:p>
        </w:tc>
      </w:tr>
      <w:tr w:rsidR="007D26AE" w:rsidRPr="007D26AE" w:rsidTr="0071554E">
        <w:trPr>
          <w:trHeight w:val="358"/>
        </w:trPr>
        <w:tc>
          <w:tcPr>
            <w:tcW w:w="3119" w:type="dxa"/>
            <w:shd w:val="clear" w:color="auto" w:fill="auto"/>
            <w:vAlign w:val="center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-44,6</w:t>
            </w:r>
          </w:p>
        </w:tc>
        <w:tc>
          <w:tcPr>
            <w:tcW w:w="1276" w:type="dxa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7D26AE" w:rsidRPr="007D26AE" w:rsidTr="0071554E">
        <w:trPr>
          <w:trHeight w:val="274"/>
        </w:trPr>
        <w:tc>
          <w:tcPr>
            <w:tcW w:w="3119" w:type="dxa"/>
            <w:shd w:val="clear" w:color="auto" w:fill="auto"/>
            <w:vAlign w:val="center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-0,6</w:t>
            </w:r>
          </w:p>
        </w:tc>
        <w:tc>
          <w:tcPr>
            <w:tcW w:w="1276" w:type="dxa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88,0</w:t>
            </w:r>
          </w:p>
        </w:tc>
      </w:tr>
      <w:tr w:rsidR="007D26AE" w:rsidRPr="007D26AE" w:rsidTr="0071554E">
        <w:trPr>
          <w:trHeight w:val="274"/>
        </w:trPr>
        <w:tc>
          <w:tcPr>
            <w:tcW w:w="3119" w:type="dxa"/>
            <w:shd w:val="clear" w:color="auto" w:fill="auto"/>
            <w:vAlign w:val="center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 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-47,8</w:t>
            </w:r>
          </w:p>
        </w:tc>
        <w:tc>
          <w:tcPr>
            <w:tcW w:w="1276" w:type="dxa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72,0</w:t>
            </w:r>
          </w:p>
        </w:tc>
      </w:tr>
      <w:tr w:rsidR="007D26AE" w:rsidRPr="007D26AE" w:rsidTr="0071554E">
        <w:trPr>
          <w:trHeight w:val="421"/>
        </w:trPr>
        <w:tc>
          <w:tcPr>
            <w:tcW w:w="3119" w:type="dxa"/>
            <w:shd w:val="clear" w:color="auto" w:fill="auto"/>
            <w:vAlign w:val="center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использования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67,2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43,2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-24,0</w:t>
            </w:r>
          </w:p>
        </w:tc>
        <w:tc>
          <w:tcPr>
            <w:tcW w:w="1276" w:type="dxa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64,3</w:t>
            </w:r>
          </w:p>
        </w:tc>
      </w:tr>
      <w:tr w:rsidR="007D26AE" w:rsidRPr="007D26AE" w:rsidTr="0071554E">
        <w:trPr>
          <w:trHeight w:val="421"/>
        </w:trPr>
        <w:tc>
          <w:tcPr>
            <w:tcW w:w="3119" w:type="dxa"/>
            <w:shd w:val="clear" w:color="auto" w:fill="auto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доходы от 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103,8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-23,8</w:t>
            </w:r>
          </w:p>
        </w:tc>
        <w:tc>
          <w:tcPr>
            <w:tcW w:w="1276" w:type="dxa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77,1</w:t>
            </w:r>
          </w:p>
        </w:tc>
      </w:tr>
      <w:tr w:rsidR="007D26AE" w:rsidRPr="007D26AE" w:rsidTr="0071554E">
        <w:trPr>
          <w:trHeight w:val="259"/>
        </w:trPr>
        <w:tc>
          <w:tcPr>
            <w:tcW w:w="3119" w:type="dxa"/>
            <w:shd w:val="clear" w:color="auto" w:fill="auto"/>
            <w:vAlign w:val="center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276" w:type="dxa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128,8</w:t>
            </w:r>
          </w:p>
        </w:tc>
      </w:tr>
      <w:tr w:rsidR="007D26AE" w:rsidRPr="007D26AE" w:rsidTr="0071554E">
        <w:trPr>
          <w:trHeight w:val="421"/>
        </w:trPr>
        <w:tc>
          <w:tcPr>
            <w:tcW w:w="3119" w:type="dxa"/>
            <w:shd w:val="clear" w:color="auto" w:fill="auto"/>
            <w:vAlign w:val="center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532,5</w:t>
            </w:r>
          </w:p>
        </w:tc>
        <w:tc>
          <w:tcPr>
            <w:tcW w:w="1276" w:type="dxa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123,6</w:t>
            </w:r>
          </w:p>
        </w:tc>
      </w:tr>
    </w:tbl>
    <w:p w:rsidR="007D26AE" w:rsidRPr="007D26AE" w:rsidRDefault="007D26AE" w:rsidP="007D26AE">
      <w:pPr>
        <w:pStyle w:val="2"/>
        <w:spacing w:line="240" w:lineRule="auto"/>
        <w:ind w:firstLine="720"/>
        <w:jc w:val="both"/>
        <w:rPr>
          <w:lang w:val="en-US"/>
        </w:rPr>
      </w:pPr>
    </w:p>
    <w:p w:rsidR="007D26AE" w:rsidRPr="007D26AE" w:rsidRDefault="007D26AE" w:rsidP="007D26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lastRenderedPageBreak/>
        <w:t>Структура доходов бюджета муниципального образования Гостовское сельское поселение  в 2015 и 2016 годах представлена в следующей диаграмме.</w:t>
      </w:r>
    </w:p>
    <w:p w:rsidR="007D26AE" w:rsidRPr="007D26AE" w:rsidRDefault="007D26AE" w:rsidP="007D26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123825</wp:posOffset>
            </wp:positionV>
            <wp:extent cx="1886585" cy="1157605"/>
            <wp:effectExtent l="0" t="0" r="0" b="0"/>
            <wp:wrapTight wrapText="bothSides">
              <wp:wrapPolygon edited="0">
                <wp:start x="487" y="2145"/>
                <wp:lineTo x="487" y="20309"/>
                <wp:lineTo x="20328" y="20309"/>
                <wp:lineTo x="20328" y="2145"/>
                <wp:lineTo x="487" y="2145"/>
              </wp:wrapPolygon>
            </wp:wrapTight>
            <wp:docPr id="5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Pr="007D26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59690</wp:posOffset>
            </wp:positionV>
            <wp:extent cx="3871595" cy="2232660"/>
            <wp:effectExtent l="0" t="0" r="0" b="0"/>
            <wp:wrapTight wrapText="bothSides">
              <wp:wrapPolygon edited="0">
                <wp:start x="485" y="2150"/>
                <wp:lineTo x="485" y="20310"/>
                <wp:lineTo x="20325" y="20310"/>
                <wp:lineTo x="20325" y="2150"/>
                <wp:lineTo x="485" y="2150"/>
              </wp:wrapPolygon>
            </wp:wrapTight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7D26AE" w:rsidRPr="007D26AE" w:rsidRDefault="007D26AE" w:rsidP="007D26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6AE" w:rsidRPr="007D26AE" w:rsidRDefault="007D26AE" w:rsidP="007D26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6AE" w:rsidRPr="007D26AE" w:rsidRDefault="007D26AE" w:rsidP="007D26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6AE" w:rsidRPr="007D26AE" w:rsidRDefault="007D26AE" w:rsidP="007D26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6AE" w:rsidRPr="007D26AE" w:rsidRDefault="007D26AE" w:rsidP="007D26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6AE" w:rsidRPr="007D26AE" w:rsidRDefault="007D26AE" w:rsidP="007D26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 xml:space="preserve">В структуре доходов бюджета поселения в 2016 году по сравнению с 2015 годом увеличилась доля  налоговых и неналоговых поступлений (далее – собственные доходы) на 1,3 процентных пункта, одновременно доля  безвозмездных поступлений – уменьшилась с 46,8 % до 40,3%. </w:t>
      </w:r>
    </w:p>
    <w:p w:rsidR="007D26AE" w:rsidRPr="007D26AE" w:rsidRDefault="007D26AE" w:rsidP="007D26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>Объем собственных доходов составил 1582,9 тыс. рублей или 94,7% к уточненному годовому плану, ниже запланированных сумм на 89,4 тыс</w:t>
      </w:r>
      <w:r w:rsidRPr="007D26AE">
        <w:rPr>
          <w:rFonts w:ascii="Times New Roman" w:hAnsi="Times New Roman" w:cs="Times New Roman"/>
          <w:bCs/>
          <w:sz w:val="24"/>
          <w:szCs w:val="24"/>
        </w:rPr>
        <w:t>. рублей.</w:t>
      </w:r>
      <w:r w:rsidRPr="007D2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6AE" w:rsidRPr="007D26AE" w:rsidRDefault="007D26AE" w:rsidP="007D26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7D26AE">
        <w:rPr>
          <w:rFonts w:ascii="Times New Roman" w:hAnsi="Times New Roman" w:cs="Times New Roman"/>
          <w:b/>
          <w:sz w:val="24"/>
          <w:szCs w:val="24"/>
        </w:rPr>
        <w:t>налоговых доходов</w:t>
      </w:r>
      <w:r w:rsidRPr="007D26AE">
        <w:rPr>
          <w:rFonts w:ascii="Times New Roman" w:hAnsi="Times New Roman" w:cs="Times New Roman"/>
          <w:sz w:val="24"/>
          <w:szCs w:val="24"/>
        </w:rPr>
        <w:t xml:space="preserve"> в 2016 году составило 1453,6 тыс</w:t>
      </w:r>
      <w:r w:rsidRPr="007D26AE">
        <w:rPr>
          <w:rFonts w:ascii="Times New Roman" w:hAnsi="Times New Roman" w:cs="Times New Roman"/>
          <w:bCs/>
          <w:sz w:val="24"/>
          <w:szCs w:val="24"/>
        </w:rPr>
        <w:t xml:space="preserve">. рублей, или 93,8 % </w:t>
      </w:r>
      <w:r w:rsidRPr="007D26AE">
        <w:rPr>
          <w:rFonts w:ascii="Times New Roman" w:hAnsi="Times New Roman" w:cs="Times New Roman"/>
          <w:sz w:val="24"/>
          <w:szCs w:val="24"/>
        </w:rPr>
        <w:t>к уточненному плану, ниже запланированного на 95,5 тыс. рублей. Плановые показатели выполнены по всем налоговым платежам, кроме налога на доходы физических лиц. Исполнение основных налоговых доходов бюджета поселения представлено в следующей таблице:</w:t>
      </w:r>
    </w:p>
    <w:p w:rsidR="007D26AE" w:rsidRPr="007D26AE" w:rsidRDefault="007D26AE" w:rsidP="007D26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тыс. рублей</w:t>
      </w:r>
    </w:p>
    <w:tbl>
      <w:tblPr>
        <w:tblW w:w="96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417"/>
        <w:gridCol w:w="1276"/>
        <w:gridCol w:w="791"/>
        <w:gridCol w:w="1335"/>
        <w:gridCol w:w="887"/>
        <w:gridCol w:w="1243"/>
      </w:tblGrid>
      <w:tr w:rsidR="007D26AE" w:rsidRPr="007D26AE" w:rsidTr="0071554E">
        <w:tc>
          <w:tcPr>
            <w:tcW w:w="2694" w:type="dxa"/>
            <w:vMerge w:val="restart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Уточненный план на 2016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Исполнено за 2016 год</w:t>
            </w:r>
          </w:p>
        </w:tc>
        <w:tc>
          <w:tcPr>
            <w:tcW w:w="791" w:type="dxa"/>
            <w:vMerge w:val="restart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% от плана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Исполнено за 2015 год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Рост (снижение) поступлений в 2016 году к 2015 году</w:t>
            </w:r>
          </w:p>
        </w:tc>
      </w:tr>
      <w:tr w:rsidR="007D26AE" w:rsidRPr="007D26AE" w:rsidTr="0071554E">
        <w:tc>
          <w:tcPr>
            <w:tcW w:w="2694" w:type="dxa"/>
            <w:vMerge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в сумме</w:t>
            </w:r>
          </w:p>
        </w:tc>
      </w:tr>
      <w:tr w:rsidR="007D26AE" w:rsidRPr="007D26AE" w:rsidTr="0071554E">
        <w:tc>
          <w:tcPr>
            <w:tcW w:w="2694" w:type="dxa"/>
            <w:shd w:val="clear" w:color="auto" w:fill="auto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 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sz w:val="24"/>
                <w:szCs w:val="24"/>
              </w:rPr>
              <w:t>1549,1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sz w:val="24"/>
                <w:szCs w:val="24"/>
              </w:rPr>
              <w:t>1453,6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sz w:val="24"/>
                <w:szCs w:val="24"/>
              </w:rPr>
              <w:t>93,8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sz w:val="24"/>
                <w:szCs w:val="24"/>
              </w:rPr>
              <w:t>1094,3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sz w:val="24"/>
                <w:szCs w:val="24"/>
              </w:rPr>
              <w:t>132,8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sz w:val="24"/>
                <w:szCs w:val="24"/>
              </w:rPr>
              <w:t>359,3</w:t>
            </w:r>
          </w:p>
        </w:tc>
      </w:tr>
      <w:tr w:rsidR="007D26AE" w:rsidRPr="007D26AE" w:rsidTr="0071554E">
        <w:tc>
          <w:tcPr>
            <w:tcW w:w="2694" w:type="dxa"/>
            <w:shd w:val="clear" w:color="auto" w:fill="auto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758,7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506,5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443,5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7D26AE" w:rsidRPr="007D26AE" w:rsidTr="0071554E">
        <w:tc>
          <w:tcPr>
            <w:tcW w:w="2694" w:type="dxa"/>
            <w:shd w:val="clear" w:color="auto" w:fill="auto"/>
            <w:vAlign w:val="center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Акцизы на </w:t>
            </w: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нефтепродукты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716,8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</w:tr>
      <w:tr w:rsidR="007D26AE" w:rsidRPr="007D26AE" w:rsidTr="0071554E">
        <w:tc>
          <w:tcPr>
            <w:tcW w:w="2694" w:type="dxa"/>
            <w:shd w:val="clear" w:color="auto" w:fill="auto"/>
            <w:vAlign w:val="center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7D26AE" w:rsidRPr="007D26AE" w:rsidTr="0071554E">
        <w:tc>
          <w:tcPr>
            <w:tcW w:w="2694" w:type="dxa"/>
            <w:shd w:val="clear" w:color="auto" w:fill="auto"/>
            <w:vAlign w:val="center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-44,1</w:t>
            </w:r>
          </w:p>
        </w:tc>
      </w:tr>
      <w:tr w:rsidR="007D26AE" w:rsidRPr="007D26AE" w:rsidTr="0071554E">
        <w:tc>
          <w:tcPr>
            <w:tcW w:w="2694" w:type="dxa"/>
            <w:shd w:val="clear" w:color="auto" w:fill="auto"/>
            <w:vAlign w:val="center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7D26AE" w:rsidRPr="007D26AE" w:rsidRDefault="007D26AE" w:rsidP="007D26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6AE" w:rsidRPr="007D26AE" w:rsidRDefault="007D26AE" w:rsidP="007D26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>Основная часть налоговых доходов бюджета  поселения обеспечена поступлениями акцизов на нефтепродукты (49,3% от общего объема налоговых поступлений), налога на доходы физических лиц (34,8 %).</w:t>
      </w:r>
    </w:p>
    <w:p w:rsidR="007D26AE" w:rsidRPr="007D26AE" w:rsidRDefault="007D26AE" w:rsidP="007D26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>Налог на доходы физических лиц за отчетный период составил 506,5 тыс</w:t>
      </w:r>
      <w:proofErr w:type="gramStart"/>
      <w:r w:rsidRPr="007D26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D26AE">
        <w:rPr>
          <w:rFonts w:ascii="Times New Roman" w:hAnsi="Times New Roman" w:cs="Times New Roman"/>
          <w:sz w:val="24"/>
          <w:szCs w:val="24"/>
        </w:rPr>
        <w:t>уб. и в общей сумме доходов бюджета поселения занимает 19,1 %, в структуре налоговых доходов составляет 34,8 %</w:t>
      </w:r>
    </w:p>
    <w:p w:rsidR="007D26AE" w:rsidRPr="007D26AE" w:rsidRDefault="007D26AE" w:rsidP="007D26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 xml:space="preserve"> Рост объема налоговых поступлений в бюджет поселения  к уровню 2015 года сложился по налогу на доходы физических лиц и налогу на имущество физических лиц, за исключением земельного налога.</w:t>
      </w:r>
    </w:p>
    <w:p w:rsidR="007D26AE" w:rsidRPr="007D26AE" w:rsidRDefault="007D26AE" w:rsidP="007D26AE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b/>
          <w:bCs/>
          <w:sz w:val="24"/>
          <w:szCs w:val="24"/>
        </w:rPr>
        <w:t>Неналоговые</w:t>
      </w:r>
      <w:r w:rsidRPr="007D26AE">
        <w:rPr>
          <w:rFonts w:ascii="Times New Roman" w:hAnsi="Times New Roman" w:cs="Times New Roman"/>
          <w:bCs/>
          <w:sz w:val="24"/>
          <w:szCs w:val="24"/>
        </w:rPr>
        <w:t xml:space="preserve"> доходы</w:t>
      </w:r>
      <w:r w:rsidRPr="007D26AE">
        <w:rPr>
          <w:rFonts w:ascii="Times New Roman" w:hAnsi="Times New Roman" w:cs="Times New Roman"/>
          <w:sz w:val="24"/>
          <w:szCs w:val="24"/>
        </w:rPr>
        <w:t xml:space="preserve"> поступили в бюджет поселения  в 2016 году в объеме 129,3 тыс. рублей, </w:t>
      </w:r>
      <w:r w:rsidRPr="007D26AE">
        <w:rPr>
          <w:rFonts w:ascii="Times New Roman" w:hAnsi="Times New Roman" w:cs="Times New Roman"/>
          <w:bCs/>
          <w:sz w:val="24"/>
          <w:szCs w:val="24"/>
        </w:rPr>
        <w:t>или 105,0 %</w:t>
      </w:r>
      <w:r w:rsidRPr="007D26AE">
        <w:rPr>
          <w:rFonts w:ascii="Times New Roman" w:hAnsi="Times New Roman" w:cs="Times New Roman"/>
          <w:sz w:val="24"/>
          <w:szCs w:val="24"/>
        </w:rPr>
        <w:t xml:space="preserve"> к уточненным бюджетным назначениям, выше </w:t>
      </w:r>
      <w:r w:rsidRPr="007D26AE">
        <w:rPr>
          <w:rFonts w:ascii="Times New Roman" w:hAnsi="Times New Roman" w:cs="Times New Roman"/>
          <w:bCs/>
          <w:sz w:val="24"/>
          <w:szCs w:val="24"/>
        </w:rPr>
        <w:t>запланированных</w:t>
      </w:r>
      <w:r w:rsidRPr="007D26AE">
        <w:rPr>
          <w:rFonts w:ascii="Times New Roman" w:hAnsi="Times New Roman" w:cs="Times New Roman"/>
          <w:sz w:val="24"/>
          <w:szCs w:val="24"/>
        </w:rPr>
        <w:t xml:space="preserve"> сумм поступило </w:t>
      </w:r>
      <w:r w:rsidRPr="007D26AE">
        <w:rPr>
          <w:rFonts w:ascii="Times New Roman" w:hAnsi="Times New Roman" w:cs="Times New Roman"/>
          <w:bCs/>
          <w:sz w:val="24"/>
          <w:szCs w:val="24"/>
        </w:rPr>
        <w:t xml:space="preserve">6,1 тыс. рублей. </w:t>
      </w:r>
      <w:r w:rsidRPr="007D26AE">
        <w:rPr>
          <w:rFonts w:ascii="Times New Roman" w:hAnsi="Times New Roman" w:cs="Times New Roman"/>
          <w:sz w:val="24"/>
          <w:szCs w:val="24"/>
        </w:rPr>
        <w:t>Уточненные плановые показатели выполнены по всем основным видам неналоговых доходов.</w:t>
      </w:r>
    </w:p>
    <w:p w:rsidR="007D26AE" w:rsidRPr="007D26AE" w:rsidRDefault="007D26AE" w:rsidP="007D26AE">
      <w:pPr>
        <w:spacing w:before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>Показатели исполнения основных неналоговых доходов бюджета поселения представлены в следующей таблице:</w:t>
      </w:r>
    </w:p>
    <w:p w:rsidR="007D26AE" w:rsidRPr="007D26AE" w:rsidRDefault="007D26AE" w:rsidP="007D26AE">
      <w:pPr>
        <w:spacing w:before="12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D26AE" w:rsidRPr="007D26AE" w:rsidRDefault="007D26AE" w:rsidP="007D26AE">
      <w:pPr>
        <w:spacing w:before="12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0"/>
        <w:gridCol w:w="1514"/>
        <w:gridCol w:w="1348"/>
        <w:gridCol w:w="806"/>
        <w:gridCol w:w="1348"/>
        <w:gridCol w:w="807"/>
        <w:gridCol w:w="1092"/>
      </w:tblGrid>
      <w:tr w:rsidR="007D26AE" w:rsidRPr="007D26AE" w:rsidTr="0071554E">
        <w:tc>
          <w:tcPr>
            <w:tcW w:w="2755" w:type="dxa"/>
            <w:vMerge w:val="restart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Уточненный план на 2016 год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Исполнено за 2016 год</w:t>
            </w:r>
          </w:p>
        </w:tc>
        <w:tc>
          <w:tcPr>
            <w:tcW w:w="789" w:type="dxa"/>
            <w:vMerge w:val="restart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% от плана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Исполнено за 2015 год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Рост (снижение) поступлений в 2016 году к 2015 году</w:t>
            </w:r>
          </w:p>
        </w:tc>
      </w:tr>
      <w:tr w:rsidR="007D26AE" w:rsidRPr="007D26AE" w:rsidTr="0071554E">
        <w:tc>
          <w:tcPr>
            <w:tcW w:w="2755" w:type="dxa"/>
            <w:vMerge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в сумме</w:t>
            </w:r>
          </w:p>
        </w:tc>
      </w:tr>
      <w:tr w:rsidR="007D26AE" w:rsidRPr="007D26AE" w:rsidTr="0071554E">
        <w:tc>
          <w:tcPr>
            <w:tcW w:w="2755" w:type="dxa"/>
            <w:shd w:val="clear" w:color="auto" w:fill="auto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НЕНАЛОГОВЫЕ ДОХОДЫ ВСЕГО, </w:t>
            </w:r>
            <w:r w:rsidRPr="007D26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том числе: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sz w:val="24"/>
                <w:szCs w:val="24"/>
              </w:rPr>
              <w:t>123,2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sz w:val="24"/>
                <w:szCs w:val="24"/>
              </w:rPr>
              <w:t>109,0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sz w:val="24"/>
                <w:szCs w:val="24"/>
              </w:rPr>
              <w:t>118,6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/>
                <w:sz w:val="24"/>
                <w:szCs w:val="24"/>
              </w:rPr>
              <w:t>20,3</w:t>
            </w:r>
          </w:p>
        </w:tc>
      </w:tr>
      <w:tr w:rsidR="007D26AE" w:rsidRPr="007D26AE" w:rsidTr="0071554E">
        <w:tc>
          <w:tcPr>
            <w:tcW w:w="2755" w:type="dxa"/>
            <w:shd w:val="clear" w:color="auto" w:fill="auto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-1,7</w:t>
            </w:r>
          </w:p>
        </w:tc>
      </w:tr>
      <w:tr w:rsidR="007D26AE" w:rsidRPr="007D26AE" w:rsidTr="0071554E">
        <w:tc>
          <w:tcPr>
            <w:tcW w:w="2755" w:type="dxa"/>
            <w:shd w:val="clear" w:color="auto" w:fill="auto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Доходы от  оказания платных услуг и компенсации затрат государства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7D26AE" w:rsidRPr="007D26AE" w:rsidTr="0071554E">
        <w:trPr>
          <w:trHeight w:val="355"/>
        </w:trPr>
        <w:tc>
          <w:tcPr>
            <w:tcW w:w="2755" w:type="dxa"/>
            <w:shd w:val="clear" w:color="auto" w:fill="auto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</w:tbl>
    <w:p w:rsidR="007D26AE" w:rsidRPr="007D26AE" w:rsidRDefault="007D26AE" w:rsidP="007D26AE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7D26AE" w:rsidRPr="007D26AE" w:rsidRDefault="007D26AE" w:rsidP="007D26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6AE" w:rsidRPr="007D26AE" w:rsidRDefault="007D26AE" w:rsidP="007D26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объеме неналоговых доходов бюджета поселения занимали в 2016 году доходы в виде доходов от оказания платных услуг (65,0 %) и прочие поступления от использования имущества (34,9%). </w:t>
      </w:r>
    </w:p>
    <w:p w:rsidR="007D26AE" w:rsidRPr="007D26AE" w:rsidRDefault="007D26AE" w:rsidP="007D26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 xml:space="preserve">Объем неналоговых доходов бюджета поселения в отчетном году в целом  к уровню 2015 года увеличился на 18,6 % или на 20,3 тыс. рублей. </w:t>
      </w:r>
    </w:p>
    <w:p w:rsidR="007D26AE" w:rsidRPr="007D26AE" w:rsidRDefault="007D26AE" w:rsidP="007D26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>Увеличение поступлений сложилось от доходов от оказания платных услуг на сумму 22,1 тыс</w:t>
      </w:r>
      <w:proofErr w:type="gramStart"/>
      <w:r w:rsidRPr="007D26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D26AE">
        <w:rPr>
          <w:rFonts w:ascii="Times New Roman" w:hAnsi="Times New Roman" w:cs="Times New Roman"/>
          <w:sz w:val="24"/>
          <w:szCs w:val="24"/>
        </w:rPr>
        <w:t>уб.(35,7%) .</w:t>
      </w:r>
    </w:p>
    <w:p w:rsidR="007D26AE" w:rsidRPr="007D26AE" w:rsidRDefault="007D26AE" w:rsidP="007D26AE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>По остальным видам неналоговых доходов отмечается снижение поступлений.</w:t>
      </w:r>
    </w:p>
    <w:p w:rsidR="007D26AE" w:rsidRPr="007D26AE" w:rsidRDefault="007D26AE" w:rsidP="007D26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proofErr w:type="gramStart"/>
      <w:r w:rsidRPr="007D26AE">
        <w:rPr>
          <w:rFonts w:ascii="Times New Roman" w:hAnsi="Times New Roman" w:cs="Times New Roman"/>
          <w:sz w:val="24"/>
          <w:szCs w:val="24"/>
        </w:rPr>
        <w:t>Согласно отчетным данным по информационному ресурсу, формируемому налоговыми органами (приказ  65н Минфина РФ от 30.06.2008 года и ФНС России № ММ-3-1/295)  по состоянию на 1 января 2017 года недоимка по налоговым платежам в бюджет поселения составила 209,8 тыс. рублей, в том числе по земельные налогу – 47,1 тыс. рублей, по налогу на имуществу физических лиц –  162,7 тыс. рублей.</w:t>
      </w:r>
      <w:proofErr w:type="gramEnd"/>
    </w:p>
    <w:p w:rsidR="007D26AE" w:rsidRPr="007D26AE" w:rsidRDefault="007D26AE" w:rsidP="007D26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>Объем недоимки с начала года в целом уменьшился на 24,7 % (на 68,9 тыс. рублей).</w:t>
      </w:r>
    </w:p>
    <w:p w:rsidR="007D26AE" w:rsidRPr="007D26AE" w:rsidRDefault="007D26AE" w:rsidP="007D26AE">
      <w:pPr>
        <w:pStyle w:val="a3"/>
        <w:spacing w:line="360" w:lineRule="auto"/>
        <w:ind w:firstLine="720"/>
        <w:jc w:val="both"/>
        <w:rPr>
          <w:sz w:val="24"/>
        </w:rPr>
      </w:pPr>
      <w:r w:rsidRPr="007D26AE">
        <w:rPr>
          <w:sz w:val="24"/>
        </w:rPr>
        <w:t xml:space="preserve">Объем безвозмездных поступлений за 2016 год составил 1117,1 тыс. рублей. Поступило безвозмездных поступлений от других бюджетов 1067,1 тыс. рублей или 95,5 </w:t>
      </w:r>
      <w:r w:rsidRPr="007D26AE">
        <w:rPr>
          <w:sz w:val="24"/>
        </w:rPr>
        <w:lastRenderedPageBreak/>
        <w:t>%,  в том числе дотации –1010,3 тыс. рублей, или 95,3% к плану, субвенции –56,8 тыс. рублей, или 100% к плану.</w:t>
      </w:r>
    </w:p>
    <w:p w:rsidR="007D26AE" w:rsidRPr="007D26AE" w:rsidRDefault="007D26AE" w:rsidP="007D26AE">
      <w:pPr>
        <w:pStyle w:val="a3"/>
        <w:spacing w:line="360" w:lineRule="auto"/>
        <w:ind w:firstLine="720"/>
        <w:jc w:val="both"/>
        <w:rPr>
          <w:sz w:val="24"/>
        </w:rPr>
      </w:pPr>
      <w:r w:rsidRPr="007D26AE">
        <w:rPr>
          <w:sz w:val="24"/>
        </w:rPr>
        <w:t>По сравнению с 2015 годом безвозмездные поступления в 2016 году увеличились на 6,4 тыс</w:t>
      </w:r>
      <w:proofErr w:type="gramStart"/>
      <w:r w:rsidRPr="007D26AE">
        <w:rPr>
          <w:sz w:val="24"/>
        </w:rPr>
        <w:t>.р</w:t>
      </w:r>
      <w:proofErr w:type="gramEnd"/>
      <w:r w:rsidRPr="007D26AE">
        <w:rPr>
          <w:sz w:val="24"/>
        </w:rPr>
        <w:t>уб. или 0,6 %.</w:t>
      </w:r>
    </w:p>
    <w:p w:rsidR="007D26AE" w:rsidRPr="007D26AE" w:rsidRDefault="007D26AE" w:rsidP="007D26AE">
      <w:pPr>
        <w:pStyle w:val="a3"/>
        <w:spacing w:line="360" w:lineRule="auto"/>
        <w:ind w:firstLine="720"/>
        <w:jc w:val="both"/>
        <w:rPr>
          <w:sz w:val="24"/>
        </w:rPr>
      </w:pPr>
      <w:r w:rsidRPr="007D26AE">
        <w:rPr>
          <w:sz w:val="24"/>
        </w:rPr>
        <w:t>Структурная динамика безвозмездных поступлений отражена в нижеследующей диаграмме.</w:t>
      </w:r>
    </w:p>
    <w:p w:rsidR="007D26AE" w:rsidRPr="007D26AE" w:rsidRDefault="007D26AE" w:rsidP="007D26AE">
      <w:pPr>
        <w:pStyle w:val="a3"/>
        <w:ind w:firstLine="720"/>
        <w:jc w:val="center"/>
        <w:rPr>
          <w:sz w:val="24"/>
        </w:rPr>
      </w:pPr>
    </w:p>
    <w:p w:rsidR="007D26AE" w:rsidRPr="007D26AE" w:rsidRDefault="007D26AE" w:rsidP="007D26AE">
      <w:pPr>
        <w:pStyle w:val="a3"/>
        <w:ind w:firstLine="720"/>
        <w:jc w:val="right"/>
        <w:rPr>
          <w:sz w:val="24"/>
        </w:rPr>
      </w:pPr>
    </w:p>
    <w:p w:rsidR="007D26AE" w:rsidRPr="007D26AE" w:rsidRDefault="007D26AE" w:rsidP="007D26AE">
      <w:pPr>
        <w:pStyle w:val="a3"/>
        <w:ind w:firstLine="720"/>
        <w:jc w:val="right"/>
        <w:rPr>
          <w:sz w:val="24"/>
        </w:rPr>
      </w:pPr>
      <w:r w:rsidRPr="007D26AE">
        <w:rPr>
          <w:sz w:val="24"/>
        </w:rPr>
        <w:t>тыс. рублей</w:t>
      </w:r>
    </w:p>
    <w:p w:rsidR="007D26AE" w:rsidRPr="007D26AE" w:rsidRDefault="007D26AE" w:rsidP="007D26AE">
      <w:pPr>
        <w:jc w:val="right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7100" cy="25781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26AE" w:rsidRPr="007D26AE" w:rsidRDefault="007D26AE" w:rsidP="007D26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AE" w:rsidRPr="007D26AE" w:rsidRDefault="007D26AE" w:rsidP="007D26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AE" w:rsidRPr="007D26AE" w:rsidRDefault="007D26AE" w:rsidP="007D26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6AE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7D26AE" w:rsidRPr="007D26AE" w:rsidRDefault="007D26AE" w:rsidP="007D26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AE" w:rsidRPr="007D26AE" w:rsidRDefault="007D26AE" w:rsidP="007D26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 xml:space="preserve">Фактически расходная часть бюджета муниципального образования Гостовское сельское поселение на 01.01.2017 исполнена в объеме 2472,3 тыс. рублей, или на 78,5 % к уточненному годовому плану. </w:t>
      </w:r>
    </w:p>
    <w:p w:rsidR="007D26AE" w:rsidRPr="007D26AE" w:rsidRDefault="007D26AE" w:rsidP="007D26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>По сравнению с аналогичным периодом прошлого года объем расходов увеличился на 205,5 тыс. рублей.</w:t>
      </w:r>
    </w:p>
    <w:p w:rsidR="007D26AE" w:rsidRPr="007D26AE" w:rsidRDefault="007D26AE" w:rsidP="007D26AE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6AE">
        <w:rPr>
          <w:rFonts w:ascii="Times New Roman" w:hAnsi="Times New Roman" w:cs="Times New Roman"/>
          <w:i/>
          <w:sz w:val="24"/>
          <w:szCs w:val="24"/>
        </w:rPr>
        <w:t xml:space="preserve">По итогам года расходы, осуществляемые за счет средств бюджета поселения, в целом исполнены на 2415,5 тыс. рублей, или 78,2 %, за счет федеральных средств на 56,8 тыс. рублей, или на 100%. </w:t>
      </w:r>
      <w:r w:rsidRPr="007D26AE">
        <w:rPr>
          <w:rFonts w:ascii="Times New Roman" w:hAnsi="Times New Roman" w:cs="Times New Roman"/>
          <w:sz w:val="24"/>
          <w:szCs w:val="24"/>
        </w:rPr>
        <w:t>Общая сумма неиспользованных ассигнований составила 675,2  тыс. рублей.</w:t>
      </w:r>
      <w:r w:rsidRPr="007D26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26AE" w:rsidRPr="007D26AE" w:rsidRDefault="007D26AE" w:rsidP="007D26AE">
      <w:pPr>
        <w:spacing w:before="12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lastRenderedPageBreak/>
        <w:t xml:space="preserve">В общем объеме расходов основную долю занимали расходы на общегосударственные вопросы составили 59,2 %, на национальную экономику – 17,0 %, на </w:t>
      </w:r>
      <w:proofErr w:type="spellStart"/>
      <w:proofErr w:type="gramStart"/>
      <w:r w:rsidRPr="007D26AE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7D26AE">
        <w:rPr>
          <w:rFonts w:ascii="Times New Roman" w:hAnsi="Times New Roman" w:cs="Times New Roman"/>
          <w:sz w:val="24"/>
          <w:szCs w:val="24"/>
        </w:rPr>
        <w:t xml:space="preserve"> – коммунальное</w:t>
      </w:r>
      <w:proofErr w:type="gramEnd"/>
      <w:r w:rsidRPr="007D26AE">
        <w:rPr>
          <w:rFonts w:ascii="Times New Roman" w:hAnsi="Times New Roman" w:cs="Times New Roman"/>
          <w:sz w:val="24"/>
          <w:szCs w:val="24"/>
        </w:rPr>
        <w:t xml:space="preserve"> хозяйство – 20,9 %, на национальную оборону, национальную безопасность и правоохранительную деятельность - 2,9 %.</w:t>
      </w:r>
    </w:p>
    <w:p w:rsidR="007D26AE" w:rsidRPr="007D26AE" w:rsidRDefault="007D26AE" w:rsidP="007D26AE">
      <w:pPr>
        <w:spacing w:before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>Отраслевая структура расходов бюджета за 2016 год в разрезе источников представлена в таблице:</w:t>
      </w:r>
    </w:p>
    <w:p w:rsidR="007D26AE" w:rsidRPr="007D26AE" w:rsidRDefault="007D26AE" w:rsidP="007D26A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13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346"/>
        <w:gridCol w:w="840"/>
        <w:gridCol w:w="2409"/>
        <w:gridCol w:w="2268"/>
        <w:gridCol w:w="2268"/>
      </w:tblGrid>
      <w:tr w:rsidR="007D26AE" w:rsidRPr="007D26AE" w:rsidTr="0071554E">
        <w:trPr>
          <w:trHeight w:val="253"/>
        </w:trPr>
        <w:tc>
          <w:tcPr>
            <w:tcW w:w="2346" w:type="dxa"/>
            <w:shd w:val="clear" w:color="auto" w:fill="auto"/>
            <w:vAlign w:val="bottom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D26AE" w:rsidRPr="007D26AE" w:rsidRDefault="007D26AE" w:rsidP="0071554E">
            <w:pPr>
              <w:ind w:left="-176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D26AE" w:rsidRPr="007D26AE" w:rsidRDefault="007D26AE" w:rsidP="0071554E">
            <w:pPr>
              <w:ind w:left="-176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268" w:type="dxa"/>
            <w:shd w:val="clear" w:color="auto" w:fill="CCFFCC"/>
            <w:noWrap/>
            <w:vAlign w:val="center"/>
          </w:tcPr>
          <w:p w:rsidR="007D26AE" w:rsidRPr="007D26AE" w:rsidRDefault="007D26AE" w:rsidP="0071554E">
            <w:pPr>
              <w:ind w:left="-176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исполнения</w:t>
            </w:r>
            <w:proofErr w:type="gramStart"/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D26AE" w:rsidRPr="007D26AE" w:rsidTr="0071554E">
        <w:trPr>
          <w:trHeight w:val="253"/>
        </w:trPr>
        <w:tc>
          <w:tcPr>
            <w:tcW w:w="2346" w:type="dxa"/>
            <w:shd w:val="clear" w:color="auto" w:fill="auto"/>
            <w:vAlign w:val="bottom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D26AE" w:rsidRPr="007D26AE" w:rsidRDefault="007D26AE" w:rsidP="0071554E">
            <w:pPr>
              <w:ind w:left="-176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D26AE" w:rsidRPr="007D26AE" w:rsidRDefault="007D26AE" w:rsidP="0071554E">
            <w:pPr>
              <w:ind w:left="-176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CCFFCC"/>
            <w:noWrap/>
            <w:vAlign w:val="center"/>
          </w:tcPr>
          <w:p w:rsidR="007D26AE" w:rsidRPr="007D26AE" w:rsidRDefault="007D26AE" w:rsidP="0071554E">
            <w:pPr>
              <w:ind w:left="-176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D26AE" w:rsidRPr="007D26AE" w:rsidTr="0071554E">
        <w:trPr>
          <w:trHeight w:val="253"/>
        </w:trPr>
        <w:tc>
          <w:tcPr>
            <w:tcW w:w="2346" w:type="dxa"/>
            <w:shd w:val="clear" w:color="auto" w:fill="auto"/>
            <w:vAlign w:val="bottom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3147,5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D26AE" w:rsidRPr="007D26AE" w:rsidRDefault="007D26AE" w:rsidP="0071554E">
            <w:pPr>
              <w:ind w:left="-176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2472,3</w:t>
            </w:r>
          </w:p>
        </w:tc>
        <w:tc>
          <w:tcPr>
            <w:tcW w:w="2268" w:type="dxa"/>
            <w:shd w:val="clear" w:color="auto" w:fill="CCFFCC"/>
            <w:noWrap/>
            <w:vAlign w:val="center"/>
          </w:tcPr>
          <w:p w:rsidR="007D26AE" w:rsidRPr="007D26AE" w:rsidRDefault="007D26AE" w:rsidP="0071554E">
            <w:pPr>
              <w:ind w:left="-176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78,5</w:t>
            </w:r>
          </w:p>
        </w:tc>
      </w:tr>
      <w:tr w:rsidR="007D26AE" w:rsidRPr="007D26AE" w:rsidTr="0071554E">
        <w:trPr>
          <w:trHeight w:val="537"/>
        </w:trPr>
        <w:tc>
          <w:tcPr>
            <w:tcW w:w="2346" w:type="dxa"/>
            <w:shd w:val="clear" w:color="auto" w:fill="auto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09" w:type="dxa"/>
            <w:shd w:val="clear" w:color="auto" w:fill="auto"/>
            <w:noWrap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1467,9</w:t>
            </w:r>
          </w:p>
        </w:tc>
        <w:tc>
          <w:tcPr>
            <w:tcW w:w="2268" w:type="dxa"/>
            <w:shd w:val="clear" w:color="auto" w:fill="auto"/>
            <w:noWrap/>
          </w:tcPr>
          <w:p w:rsidR="007D26AE" w:rsidRPr="007D26AE" w:rsidRDefault="007D26AE" w:rsidP="0071554E">
            <w:pPr>
              <w:ind w:left="-176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1464,4</w:t>
            </w:r>
          </w:p>
        </w:tc>
        <w:tc>
          <w:tcPr>
            <w:tcW w:w="2268" w:type="dxa"/>
            <w:shd w:val="clear" w:color="auto" w:fill="CCFFCC"/>
            <w:noWrap/>
            <w:vAlign w:val="center"/>
          </w:tcPr>
          <w:p w:rsidR="007D26AE" w:rsidRPr="007D26AE" w:rsidRDefault="007D26AE" w:rsidP="0071554E">
            <w:pPr>
              <w:ind w:left="-176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99,8</w:t>
            </w:r>
          </w:p>
        </w:tc>
      </w:tr>
      <w:tr w:rsidR="007D26AE" w:rsidRPr="007D26AE" w:rsidTr="0071554E">
        <w:trPr>
          <w:trHeight w:val="376"/>
        </w:trPr>
        <w:tc>
          <w:tcPr>
            <w:tcW w:w="2346" w:type="dxa"/>
            <w:shd w:val="clear" w:color="auto" w:fill="auto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840" w:type="dxa"/>
            <w:shd w:val="clear" w:color="auto" w:fill="auto"/>
            <w:noWrap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09" w:type="dxa"/>
            <w:shd w:val="clear" w:color="auto" w:fill="auto"/>
            <w:noWrap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2268" w:type="dxa"/>
            <w:shd w:val="clear" w:color="auto" w:fill="auto"/>
            <w:noWrap/>
          </w:tcPr>
          <w:p w:rsidR="007D26AE" w:rsidRPr="007D26AE" w:rsidRDefault="007D26AE" w:rsidP="0071554E">
            <w:pPr>
              <w:ind w:left="-176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56,8</w:t>
            </w:r>
          </w:p>
        </w:tc>
        <w:tc>
          <w:tcPr>
            <w:tcW w:w="2268" w:type="dxa"/>
            <w:shd w:val="clear" w:color="auto" w:fill="CCFFCC"/>
            <w:noWrap/>
            <w:vAlign w:val="center"/>
          </w:tcPr>
          <w:p w:rsidR="007D26AE" w:rsidRPr="007D26AE" w:rsidRDefault="007D26AE" w:rsidP="0071554E">
            <w:pPr>
              <w:ind w:left="-176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D26AE" w:rsidRPr="007D26AE" w:rsidTr="0071554E">
        <w:trPr>
          <w:trHeight w:val="889"/>
        </w:trPr>
        <w:tc>
          <w:tcPr>
            <w:tcW w:w="2346" w:type="dxa"/>
            <w:shd w:val="clear" w:color="auto" w:fill="auto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840" w:type="dxa"/>
            <w:shd w:val="clear" w:color="auto" w:fill="auto"/>
            <w:noWrap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09" w:type="dxa"/>
            <w:shd w:val="clear" w:color="auto" w:fill="auto"/>
            <w:noWrap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2268" w:type="dxa"/>
            <w:shd w:val="clear" w:color="auto" w:fill="auto"/>
            <w:noWrap/>
          </w:tcPr>
          <w:p w:rsidR="007D26AE" w:rsidRPr="007D26AE" w:rsidRDefault="007D26AE" w:rsidP="0071554E">
            <w:pPr>
              <w:ind w:left="-176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26AE" w:rsidRPr="007D26AE" w:rsidRDefault="007D26AE" w:rsidP="0071554E">
            <w:pPr>
              <w:ind w:left="-176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15,2</w:t>
            </w:r>
          </w:p>
        </w:tc>
        <w:tc>
          <w:tcPr>
            <w:tcW w:w="2268" w:type="dxa"/>
            <w:shd w:val="clear" w:color="auto" w:fill="CCFFCC"/>
            <w:noWrap/>
            <w:vAlign w:val="center"/>
          </w:tcPr>
          <w:p w:rsidR="007D26AE" w:rsidRPr="007D26AE" w:rsidRDefault="007D26AE" w:rsidP="0071554E">
            <w:pPr>
              <w:ind w:left="-176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D26AE" w:rsidRPr="007D26AE" w:rsidTr="0071554E">
        <w:trPr>
          <w:trHeight w:val="615"/>
        </w:trPr>
        <w:tc>
          <w:tcPr>
            <w:tcW w:w="2346" w:type="dxa"/>
            <w:shd w:val="clear" w:color="auto" w:fill="auto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shd w:val="clear" w:color="auto" w:fill="auto"/>
            <w:noWrap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09" w:type="dxa"/>
            <w:shd w:val="clear" w:color="auto" w:fill="auto"/>
            <w:noWrap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1075,6</w:t>
            </w:r>
          </w:p>
        </w:tc>
        <w:tc>
          <w:tcPr>
            <w:tcW w:w="2268" w:type="dxa"/>
            <w:shd w:val="clear" w:color="auto" w:fill="auto"/>
            <w:noWrap/>
          </w:tcPr>
          <w:p w:rsidR="007D26AE" w:rsidRPr="007D26AE" w:rsidRDefault="007D26AE" w:rsidP="0071554E">
            <w:pPr>
              <w:ind w:left="-176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26AE" w:rsidRPr="007D26AE" w:rsidRDefault="007D26AE" w:rsidP="0071554E">
            <w:pPr>
              <w:ind w:left="-176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419,4</w:t>
            </w:r>
          </w:p>
        </w:tc>
        <w:tc>
          <w:tcPr>
            <w:tcW w:w="2268" w:type="dxa"/>
            <w:shd w:val="clear" w:color="auto" w:fill="CCFFCC"/>
            <w:noWrap/>
            <w:vAlign w:val="center"/>
          </w:tcPr>
          <w:p w:rsidR="007D26AE" w:rsidRPr="007D26AE" w:rsidRDefault="007D26AE" w:rsidP="0071554E">
            <w:pPr>
              <w:ind w:left="-176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39,0</w:t>
            </w:r>
          </w:p>
        </w:tc>
      </w:tr>
      <w:tr w:rsidR="007D26AE" w:rsidRPr="007D26AE" w:rsidTr="0071554E">
        <w:trPr>
          <w:trHeight w:val="615"/>
        </w:trPr>
        <w:tc>
          <w:tcPr>
            <w:tcW w:w="2346" w:type="dxa"/>
            <w:shd w:val="clear" w:color="auto" w:fill="auto"/>
          </w:tcPr>
          <w:p w:rsidR="007D26AE" w:rsidRPr="007D26AE" w:rsidRDefault="007D26AE" w:rsidP="007155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840" w:type="dxa"/>
            <w:shd w:val="clear" w:color="auto" w:fill="auto"/>
            <w:noWrap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09" w:type="dxa"/>
            <w:shd w:val="clear" w:color="auto" w:fill="auto"/>
            <w:noWrap/>
          </w:tcPr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26AE" w:rsidRPr="007D26AE" w:rsidRDefault="007D26AE" w:rsidP="007155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2268" w:type="dxa"/>
            <w:shd w:val="clear" w:color="auto" w:fill="auto"/>
            <w:noWrap/>
          </w:tcPr>
          <w:p w:rsidR="007D26AE" w:rsidRPr="007D26AE" w:rsidRDefault="007D26AE" w:rsidP="0071554E">
            <w:pPr>
              <w:ind w:left="-176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26AE" w:rsidRPr="007D26AE" w:rsidRDefault="007D26AE" w:rsidP="0071554E">
            <w:pPr>
              <w:ind w:left="-176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516,5</w:t>
            </w:r>
          </w:p>
        </w:tc>
        <w:tc>
          <w:tcPr>
            <w:tcW w:w="2268" w:type="dxa"/>
            <w:shd w:val="clear" w:color="auto" w:fill="CCFFCC"/>
            <w:noWrap/>
            <w:vAlign w:val="center"/>
          </w:tcPr>
          <w:p w:rsidR="007D26AE" w:rsidRPr="007D26AE" w:rsidRDefault="007D26AE" w:rsidP="0071554E">
            <w:pPr>
              <w:ind w:left="-176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bCs/>
                <w:sz w:val="24"/>
                <w:szCs w:val="24"/>
              </w:rPr>
              <w:t>97,1</w:t>
            </w:r>
          </w:p>
        </w:tc>
      </w:tr>
    </w:tbl>
    <w:p w:rsidR="007D26AE" w:rsidRPr="007D26AE" w:rsidRDefault="007D26AE" w:rsidP="007D26AE">
      <w:pPr>
        <w:spacing w:after="6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26AE" w:rsidRPr="007D26AE" w:rsidRDefault="007D26AE" w:rsidP="007D26AE">
      <w:pPr>
        <w:spacing w:before="120"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6AE">
        <w:rPr>
          <w:rFonts w:ascii="Times New Roman" w:hAnsi="Times New Roman" w:cs="Times New Roman"/>
          <w:b/>
          <w:sz w:val="24"/>
          <w:szCs w:val="24"/>
        </w:rPr>
        <w:t xml:space="preserve">Структура расходов бюджета поселения за 2016 год в разрезе </w:t>
      </w:r>
      <w:proofErr w:type="gramStart"/>
      <w:r w:rsidRPr="007D26AE">
        <w:rPr>
          <w:rFonts w:ascii="Times New Roman" w:hAnsi="Times New Roman" w:cs="Times New Roman"/>
          <w:b/>
          <w:sz w:val="24"/>
          <w:szCs w:val="24"/>
        </w:rPr>
        <w:t>кодов классификации операций сектора государственного управления</w:t>
      </w:r>
      <w:proofErr w:type="gramEnd"/>
      <w:r w:rsidRPr="007D26AE">
        <w:rPr>
          <w:rFonts w:ascii="Times New Roman" w:hAnsi="Times New Roman" w:cs="Times New Roman"/>
          <w:b/>
          <w:sz w:val="24"/>
          <w:szCs w:val="24"/>
        </w:rPr>
        <w:t xml:space="preserve"> представлена на следующей диаграмме:</w:t>
      </w:r>
      <w:r w:rsidRPr="007D26A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7D26AE" w:rsidRPr="007D26AE" w:rsidRDefault="007D26AE" w:rsidP="007D26AE">
      <w:pPr>
        <w:spacing w:before="12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26AE"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6311900" cy="3606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26AE" w:rsidRPr="007D26AE" w:rsidRDefault="007D26AE" w:rsidP="007D26AE">
      <w:pPr>
        <w:tabs>
          <w:tab w:val="left" w:pos="2926"/>
        </w:tabs>
        <w:spacing w:before="120" w:line="36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6AE">
        <w:rPr>
          <w:rFonts w:ascii="Times New Roman" w:hAnsi="Times New Roman" w:cs="Times New Roman"/>
          <w:i/>
          <w:sz w:val="24"/>
          <w:szCs w:val="24"/>
        </w:rPr>
        <w:tab/>
      </w:r>
    </w:p>
    <w:p w:rsidR="007D26AE" w:rsidRPr="007D26AE" w:rsidRDefault="007D26AE" w:rsidP="007D26AE">
      <w:pPr>
        <w:tabs>
          <w:tab w:val="left" w:pos="3079"/>
        </w:tabs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ab/>
      </w:r>
    </w:p>
    <w:p w:rsidR="007D26AE" w:rsidRPr="007D26AE" w:rsidRDefault="007D26AE" w:rsidP="007D26AE">
      <w:pPr>
        <w:spacing w:before="120" w:line="36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6AE">
        <w:rPr>
          <w:rFonts w:ascii="Times New Roman" w:hAnsi="Times New Roman" w:cs="Times New Roman"/>
          <w:i/>
          <w:sz w:val="24"/>
          <w:szCs w:val="24"/>
        </w:rPr>
        <w:t>Приведенные данные свидетельствуют, что основную долю в расходах бюджета занимали расходы на финансирование заработной платы с начислениями, текущие услуги.</w:t>
      </w:r>
    </w:p>
    <w:p w:rsidR="007D26AE" w:rsidRPr="007D26AE" w:rsidRDefault="007D26AE" w:rsidP="007D26AE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6AE">
        <w:rPr>
          <w:rFonts w:ascii="Times New Roman" w:hAnsi="Times New Roman" w:cs="Times New Roman"/>
          <w:i/>
          <w:sz w:val="24"/>
          <w:szCs w:val="24"/>
        </w:rPr>
        <w:t xml:space="preserve">В соответствии с Докладом главы администрации поселение «Об основных направлениях налоговой и бюджетной политики на 2016 год» имеющиеся ресурсы были сосредоточены на неукоснительном выполнении социальных обязательств. Обеспечена своевременная и в полном объеме выплата всех мер социальной поддержки граждан. </w:t>
      </w:r>
    </w:p>
    <w:p w:rsidR="007D26AE" w:rsidRPr="007D26AE" w:rsidRDefault="007D26AE" w:rsidP="007D26AE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6AE">
        <w:rPr>
          <w:rFonts w:ascii="Times New Roman" w:hAnsi="Times New Roman" w:cs="Times New Roman"/>
          <w:b/>
          <w:sz w:val="24"/>
          <w:szCs w:val="24"/>
        </w:rPr>
        <w:t>Осуществление расходов бюджета поселения в течение 2016 года представлено на диаграмме.</w:t>
      </w:r>
    </w:p>
    <w:p w:rsidR="007D26AE" w:rsidRPr="007D26AE" w:rsidRDefault="007D26AE" w:rsidP="007D26AE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26AE" w:rsidRPr="007D26AE" w:rsidRDefault="007D26AE" w:rsidP="007D26AE">
      <w:pPr>
        <w:keepNext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26AE" w:rsidRPr="007D26AE" w:rsidRDefault="007D26AE" w:rsidP="007D26AE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6AE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715000" cy="38227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26AE" w:rsidRPr="007D26AE" w:rsidRDefault="007D26AE" w:rsidP="007D26AE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 xml:space="preserve">В 2016 году расходы на содержание органов местного самоуправления муниципального образования составили 1466,6 тыс. рублей, при нормативе 1644,0 тыс. рублей, установленном Постановлением Правительства Кировской области от 30.12.2013 №  242/955 «О нормативах формирования расходов на содержание органов местного самоуправления муниципальных образований Кировской области на 2016 год» (с изменениями).  </w:t>
      </w:r>
    </w:p>
    <w:p w:rsidR="007D26AE" w:rsidRPr="007D26AE" w:rsidRDefault="007D26AE" w:rsidP="007D26A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>Финансирование расходов бюджета муниципального образования осуществлялось в 4 муниципальных программах. Фактическое исполнение составило 2472,3 или 78,5 % от утвержденных бюджетных назначений.</w:t>
      </w:r>
    </w:p>
    <w:p w:rsidR="007D26AE" w:rsidRPr="007D26AE" w:rsidRDefault="007D26AE" w:rsidP="007D26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6AE">
        <w:rPr>
          <w:rFonts w:ascii="Times New Roman" w:hAnsi="Times New Roman" w:cs="Times New Roman"/>
          <w:sz w:val="24"/>
          <w:szCs w:val="24"/>
        </w:rPr>
        <w:t xml:space="preserve">Информация о финансировании муниципальных программ в 2016 году представлена в приложении 1 к пояснительной записке. </w:t>
      </w:r>
    </w:p>
    <w:p w:rsidR="007D26AE" w:rsidRPr="007D26AE" w:rsidRDefault="007D26AE" w:rsidP="007D26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6AE">
        <w:rPr>
          <w:rFonts w:ascii="Times New Roman" w:hAnsi="Times New Roman" w:cs="Times New Roman"/>
          <w:i/>
          <w:sz w:val="24"/>
          <w:szCs w:val="24"/>
        </w:rPr>
        <w:t>Расходование средств резервного фонда администрации Гостовского сельского поселения Шабалинского района Кировской области за 2016 год не было.</w:t>
      </w:r>
    </w:p>
    <w:p w:rsidR="007D26AE" w:rsidRPr="007D26AE" w:rsidRDefault="007D26AE" w:rsidP="007D26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6AE">
        <w:rPr>
          <w:rFonts w:ascii="Times New Roman" w:hAnsi="Times New Roman" w:cs="Times New Roman"/>
          <w:i/>
          <w:sz w:val="24"/>
          <w:szCs w:val="24"/>
        </w:rPr>
        <w:t>Отчет об использовании бюджетных ассигнований резервного фонда администрации Гостовского сельского поселения в 2016 году представлен в приложении 2 к пояснительной записке.</w:t>
      </w:r>
    </w:p>
    <w:p w:rsidR="007D26AE" w:rsidRPr="007D26AE" w:rsidRDefault="007D26AE" w:rsidP="007D26AE">
      <w:pPr>
        <w:spacing w:before="120" w:line="36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6A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отчетную дату просроченной кредиторской задолженности не имеется. </w:t>
      </w:r>
    </w:p>
    <w:p w:rsidR="007D26AE" w:rsidRPr="007D26AE" w:rsidRDefault="007D26AE" w:rsidP="007D26AE">
      <w:pPr>
        <w:spacing w:line="360" w:lineRule="auto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D26AE" w:rsidRPr="007D26AE" w:rsidRDefault="007D26AE" w:rsidP="007D26AE">
      <w:pPr>
        <w:shd w:val="clear" w:color="auto" w:fill="FFFFFF"/>
        <w:spacing w:line="360" w:lineRule="auto"/>
        <w:ind w:left="14" w:right="14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D26AE" w:rsidRPr="007D26AE" w:rsidRDefault="007D26AE" w:rsidP="007D26AE">
      <w:pPr>
        <w:shd w:val="clear" w:color="auto" w:fill="FFFFFF"/>
        <w:spacing w:line="360" w:lineRule="auto"/>
        <w:ind w:left="14" w:right="14"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26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ИСТОЧНИКИ ПОКРЫТИЯ ДЕФИЦИТА БЮДЖЕТА </w:t>
      </w:r>
    </w:p>
    <w:p w:rsidR="007D26AE" w:rsidRPr="007D26AE" w:rsidRDefault="007D26AE" w:rsidP="007D26AE">
      <w:pPr>
        <w:shd w:val="clear" w:color="auto" w:fill="FFFFFF"/>
        <w:spacing w:line="360" w:lineRule="auto"/>
        <w:ind w:left="14" w:right="14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26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итогам 2016 года </w:t>
      </w:r>
      <w:proofErr w:type="gramStart"/>
      <w:r w:rsidRPr="007D26AE">
        <w:rPr>
          <w:rFonts w:ascii="Times New Roman" w:hAnsi="Times New Roman" w:cs="Times New Roman"/>
          <w:i/>
          <w:color w:val="000000"/>
          <w:sz w:val="24"/>
          <w:szCs w:val="24"/>
        </w:rPr>
        <w:t>фактический</w:t>
      </w:r>
      <w:proofErr w:type="gramEnd"/>
      <w:r w:rsidRPr="007D26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D26AE">
        <w:rPr>
          <w:rFonts w:ascii="Times New Roman" w:hAnsi="Times New Roman" w:cs="Times New Roman"/>
          <w:i/>
          <w:color w:val="000000"/>
          <w:sz w:val="24"/>
          <w:szCs w:val="24"/>
        </w:rPr>
        <w:t>профицит</w:t>
      </w:r>
      <w:proofErr w:type="spellEnd"/>
      <w:r w:rsidRPr="007D26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бюджета муниципального образования Гостовское сельское поселение составил 177,7 тыс. рублей. Источниками финансирования дефицита бюджета поселения в 2016 году являются изменения остатков средств бюджета 177,7 тыс. рублей. </w:t>
      </w:r>
    </w:p>
    <w:p w:rsidR="00D216A6" w:rsidRPr="007D26AE" w:rsidRDefault="00D216A6">
      <w:pPr>
        <w:rPr>
          <w:rFonts w:ascii="Times New Roman" w:hAnsi="Times New Roman" w:cs="Times New Roman"/>
          <w:sz w:val="24"/>
          <w:szCs w:val="24"/>
        </w:rPr>
      </w:pPr>
    </w:p>
    <w:sectPr w:rsidR="00D216A6" w:rsidRPr="007D26AE" w:rsidSect="00D2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91357"/>
    <w:rsid w:val="007D26AE"/>
    <w:rsid w:val="00A91357"/>
    <w:rsid w:val="00D2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26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D26A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D26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D26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1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2015 год</a:t>
            </a:r>
          </a:p>
        </c:rich>
      </c:tx>
      <c:layout/>
      <c:spPr>
        <a:noFill/>
        <a:ln w="18384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796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48,4</a:t>
                    </a:r>
                    <a:endParaRPr lang="en-US"/>
                  </a:p>
                </c:rich>
              </c:tx>
              <c:spPr>
                <a:noFill/>
                <a:ln w="18384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4.5279783370950469E-2"/>
                  <c:y val="-1.3261884414621043E-4"/>
                </c:manualLayout>
              </c:layout>
              <c:tx>
                <c:rich>
                  <a:bodyPr/>
                  <a:lstStyle/>
                  <a:p>
                    <a:pPr>
                      <a:defRPr sz="576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4,</a:t>
                    </a:r>
                    <a:r>
                      <a:rPr lang="ru-RU"/>
                      <a:t>8</a:t>
                    </a:r>
                  </a:p>
                  <a:p>
                    <a:pPr>
                      <a:defRPr sz="576" b="1">
                        <a:latin typeface="Times New Roman" pitchFamily="18" charset="0"/>
                        <a:cs typeface="Times New Roman" pitchFamily="18" charset="0"/>
                      </a:defRPr>
                    </a:pPr>
                    <a:endParaRPr lang="en-US"/>
                  </a:p>
                </c:rich>
              </c:tx>
              <c:spPr>
                <a:noFill/>
                <a:ln w="18384">
                  <a:noFill/>
                </a:ln>
              </c:spPr>
              <c:dLblPos val="bestFit"/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 sz="796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46,8</a:t>
                    </a:r>
                    <a:endParaRPr lang="en-US"/>
                  </a:p>
                </c:rich>
              </c:tx>
              <c:spPr>
                <a:noFill/>
                <a:ln w="18384">
                  <a:noFill/>
                </a:ln>
              </c:spPr>
              <c:dLblPos val="bestFit"/>
            </c:dLbl>
            <c:numFmt formatCode="0.0%" sourceLinked="0"/>
            <c:spPr>
              <a:noFill/>
              <a:ln w="18384">
                <a:noFill/>
              </a:ln>
            </c:spPr>
            <c:txPr>
              <a:bodyPr/>
              <a:lstStyle/>
              <a:p>
                <a:pPr>
                  <a:defRPr sz="796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1453.58</c:v>
                </c:pt>
                <c:pt idx="1">
                  <c:v>129.32000000000002</c:v>
                </c:pt>
                <c:pt idx="2">
                  <c:v>1067.0899999999999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18384">
          <a:noFill/>
        </a:ln>
      </c:spPr>
    </c:plotArea>
    <c:plotVisOnly val="1"/>
    <c:dispBlanksAs val="zero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682">
                <a:latin typeface="Times New Roman" pitchFamily="18" charset="0"/>
                <a:cs typeface="Times New Roman" pitchFamily="18" charset="0"/>
              </a:defRPr>
            </a:pPr>
            <a:r>
              <a:rPr lang="ru-RU" sz="682">
                <a:latin typeface="Times New Roman" pitchFamily="18" charset="0"/>
                <a:cs typeface="Times New Roman" pitchFamily="18" charset="0"/>
              </a:rPr>
              <a:t>2016 год</a:t>
            </a:r>
          </a:p>
        </c:rich>
      </c:tx>
      <c:layout>
        <c:manualLayout>
          <c:xMode val="edge"/>
          <c:yMode val="edge"/>
          <c:x val="1.706268060245833E-3"/>
          <c:y val="4.043641334944139E-2"/>
        </c:manualLayout>
      </c:layout>
      <c:overlay val="1"/>
      <c:spPr>
        <a:noFill/>
        <a:ln w="12370">
          <a:noFill/>
        </a:ln>
      </c:spPr>
    </c:title>
    <c:plotArea>
      <c:layout>
        <c:manualLayout>
          <c:layoutTarget val="inner"/>
          <c:xMode val="edge"/>
          <c:yMode val="edge"/>
          <c:x val="0.20043572984749461"/>
          <c:y val="0.27899686520376188"/>
          <c:w val="7.407407407407407E-2"/>
          <c:h val="0.1065830721003134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0.11128038977978767"/>
                  <c:y val="-3.20353122801482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40,3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1.210785279287844E-3"/>
                  <c:y val="1.6257936781796607E-2"/>
                </c:manualLayout>
              </c:layout>
              <c:tx>
                <c:rich>
                  <a:bodyPr/>
                  <a:lstStyle/>
                  <a:p>
                    <a:pPr>
                      <a:defRPr sz="536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4,9</a:t>
                    </a:r>
                  </a:p>
                </c:rich>
              </c:tx>
              <c:spPr>
                <a:noFill/>
                <a:ln w="12370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0.15214113542722196"/>
                  <c:y val="-1.584487148082394E-2"/>
                </c:manualLayout>
              </c:layout>
              <c:tx>
                <c:rich>
                  <a:bodyPr/>
                  <a:lstStyle/>
                  <a:p>
                    <a:pPr>
                      <a:defRPr sz="536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54,8</a:t>
                    </a:r>
                  </a:p>
                </c:rich>
              </c:tx>
              <c:spPr>
                <a:noFill/>
                <a:ln w="12370">
                  <a:noFill/>
                </a:ln>
              </c:spPr>
              <c:dLblPos val="bestFit"/>
            </c:dLbl>
            <c:numFmt formatCode="0.0%" sourceLinked="0"/>
            <c:spPr>
              <a:noFill/>
              <a:ln w="12370">
                <a:noFill/>
              </a:ln>
            </c:spPr>
            <c:txPr>
              <a:bodyPr/>
              <a:lstStyle/>
              <a:p>
                <a:pPr>
                  <a:defRPr sz="536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1094.3</c:v>
                </c:pt>
                <c:pt idx="1">
                  <c:v>109</c:v>
                </c:pt>
                <c:pt idx="2">
                  <c:v>1060.7</c:v>
                </c:pt>
              </c:numCache>
            </c:numRef>
          </c:val>
        </c:ser>
        <c:firstSliceAng val="0"/>
      </c:pieChart>
      <c:spPr>
        <a:noFill/>
        <a:ln w="12370">
          <a:noFill/>
        </a:ln>
      </c:spPr>
    </c:plotArea>
    <c:legend>
      <c:legendPos val="r"/>
      <c:layout>
        <c:manualLayout>
          <c:xMode val="edge"/>
          <c:yMode val="edge"/>
          <c:x val="0.55451715135306723"/>
          <c:y val="0.22448986814520788"/>
          <c:w val="0.42679123455762247"/>
          <c:h val="0.53571409611882936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5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4317032040472344E-3"/>
          <c:y val="0"/>
          <c:w val="0.80497634424910369"/>
          <c:h val="0.896969513426206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Дотации</c:v>
                </c:pt>
              </c:strCache>
            </c:strRef>
          </c:tx>
          <c:spPr>
            <a:gradFill rotWithShape="0">
              <a:gsLst>
                <a:gs pos="0">
                  <a:srgbClr val="0000FF">
                    <a:gamma/>
                    <a:tint val="0"/>
                    <a:invGamma/>
                  </a:srgbClr>
                </a:gs>
                <a:gs pos="100000">
                  <a:srgbClr val="0000FF"/>
                </a:gs>
              </a:gsLst>
              <a:path path="rect">
                <a:fillToRect l="50000" t="50000" r="50000" b="50000"/>
              </a:path>
            </a:gradFill>
            <a:ln w="99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6209921434239333E-2"/>
                  <c:y val="-4.5778669301318339E-2"/>
                </c:manualLayout>
              </c:layout>
              <c:showVal val="1"/>
            </c:dLbl>
            <c:dLbl>
              <c:idx val="1"/>
              <c:layout>
                <c:manualLayout>
                  <c:x val="3.7501904301763284E-2"/>
                  <c:y val="-4.0578729311728595E-2"/>
                </c:manualLayout>
              </c:layout>
              <c:showVal val="1"/>
            </c:dLbl>
            <c:spPr>
              <a:noFill/>
              <a:ln w="22384">
                <a:noFill/>
              </a:ln>
            </c:spPr>
            <c:txPr>
              <a:bodyPr/>
              <a:lstStyle/>
              <a:p>
                <a:pPr>
                  <a:defRPr sz="785"/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850.4</c:v>
                </c:pt>
                <c:pt idx="1">
                  <c:v>1010.3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Субвенции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99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4182296980319299E-2"/>
                  <c:y val="-4.4066747754091709E-2"/>
                </c:manualLayout>
              </c:layout>
              <c:showVal val="1"/>
            </c:dLbl>
            <c:dLbl>
              <c:idx val="1"/>
              <c:layout>
                <c:manualLayout>
                  <c:x val="3.9361533296710001E-2"/>
                  <c:y val="-6.1056854585192055E-2"/>
                </c:manualLayout>
              </c:layout>
              <c:showVal val="1"/>
            </c:dLbl>
            <c:spPr>
              <a:noFill/>
              <a:ln w="22384">
                <a:noFill/>
              </a:ln>
            </c:spPr>
            <c:txPr>
              <a:bodyPr/>
              <a:lstStyle/>
              <a:p>
                <a:pPr>
                  <a:defRPr sz="78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Sheet1!$B$3:$C$3</c:f>
              <c:numCache>
                <c:formatCode>#,##0.0</c:formatCode>
                <c:ptCount val="2"/>
                <c:pt idx="0">
                  <c:v>55.3</c:v>
                </c:pt>
                <c:pt idx="1">
                  <c:v>56.8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Межбюд.трансферты</c:v>
                </c:pt>
              </c:strCache>
            </c:strRef>
          </c:tx>
          <c:spPr>
            <a:solidFill>
              <a:srgbClr val="FFFFCC"/>
            </a:solidFill>
            <a:ln w="99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2027275660309905E-2"/>
                  <c:y val="-4.0144677037321545E-2"/>
                </c:manualLayout>
              </c:layout>
              <c:showVal val="1"/>
            </c:dLbl>
            <c:dLbl>
              <c:idx val="1"/>
              <c:layout>
                <c:manualLayout>
                  <c:x val="6.3795397668314713E-2"/>
                  <c:y val="-4.93035138668503E-2"/>
                </c:manualLayout>
              </c:layout>
              <c:showVal val="1"/>
            </c:dLbl>
            <c:spPr>
              <a:noFill/>
              <a:ln w="22384">
                <a:noFill/>
              </a:ln>
            </c:spPr>
            <c:txPr>
              <a:bodyPr/>
              <a:lstStyle/>
              <a:p>
                <a:pPr>
                  <a:defRPr sz="78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 formatCode="#,##0.0">
                  <c:v>155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pattFill prst="wdUpDiag">
              <a:fgClr>
                <a:srgbClr val="660066"/>
              </a:fgClr>
              <a:bgClr>
                <a:srgbClr val="FFFFFF"/>
              </a:bgClr>
            </a:pattFill>
            <a:ln w="99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9789241461096478E-2"/>
                  <c:y val="-5.5248246060497178E-2"/>
                </c:manualLayout>
              </c:layout>
              <c:showVal val="1"/>
            </c:dLbl>
            <c:dLbl>
              <c:idx val="1"/>
              <c:layout>
                <c:manualLayout>
                  <c:x val="3.0003264517308476E-2"/>
                  <c:y val="-4.3930066592915547E-2"/>
                </c:manualLayout>
              </c:layout>
              <c:showVal val="1"/>
            </c:dLbl>
            <c:spPr>
              <a:noFill/>
              <a:ln w="22384">
                <a:noFill/>
              </a:ln>
            </c:spPr>
            <c:txPr>
              <a:bodyPr/>
              <a:lstStyle/>
              <a:p>
                <a:pPr>
                  <a:defRPr sz="785"/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</c:numCache>
            </c:numRef>
          </c:val>
        </c:ser>
        <c:gapWidth val="47"/>
        <c:gapDepth val="107"/>
        <c:shape val="box"/>
        <c:axId val="110823296"/>
        <c:axId val="110824832"/>
        <c:axId val="0"/>
      </c:bar3DChart>
      <c:catAx>
        <c:axId val="110823296"/>
        <c:scaling>
          <c:orientation val="minMax"/>
        </c:scaling>
        <c:axPos val="b"/>
        <c:numFmt formatCode="General" sourceLinked="1"/>
        <c:tickLblPos val="low"/>
        <c:spPr>
          <a:ln w="249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824832"/>
        <c:crosses val="autoZero"/>
        <c:auto val="1"/>
        <c:lblAlgn val="ctr"/>
        <c:lblOffset val="100"/>
        <c:tickLblSkip val="1"/>
        <c:tickMarkSkip val="1"/>
      </c:catAx>
      <c:valAx>
        <c:axId val="110824832"/>
        <c:scaling>
          <c:orientation val="minMax"/>
        </c:scaling>
        <c:delete val="1"/>
        <c:axPos val="l"/>
        <c:numFmt formatCode="#,##0.0" sourceLinked="1"/>
        <c:tickLblPos val="nextTo"/>
        <c:crossAx val="110823296"/>
        <c:crosses val="autoZero"/>
        <c:crossBetween val="between"/>
      </c:valAx>
      <c:spPr>
        <a:noFill/>
        <a:ln w="22384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5621882451690514"/>
          <c:y val="0.28685255749171656"/>
          <c:w val="0.18076271410526856"/>
          <c:h val="0.60557793518836822"/>
        </c:manualLayout>
      </c:layout>
      <c:spPr>
        <a:noFill/>
        <a:ln w="19979">
          <a:noFill/>
        </a:ln>
      </c:spPr>
      <c:txPr>
        <a:bodyPr/>
        <a:lstStyle/>
        <a:p>
          <a:pPr>
            <a:defRPr sz="7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45"/>
      <c:rotY val="230"/>
      <c:perspective val="0"/>
    </c:view3D>
    <c:plotArea>
      <c:layout>
        <c:manualLayout>
          <c:layoutTarget val="inner"/>
          <c:xMode val="edge"/>
          <c:yMode val="edge"/>
          <c:x val="0.18989280245022974"/>
          <c:y val="0.28184281842818426"/>
          <c:w val="0.3062787136294029"/>
          <c:h val="0.4363143631436315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8803410471389098E-3"/>
                  <c:y val="-6.9924012847758454E-2"/>
                </c:manualLayout>
              </c:layout>
              <c:tx>
                <c:rich>
                  <a:bodyPr/>
                  <a:lstStyle/>
                  <a:p>
                    <a:pPr>
                      <a:defRPr sz="1624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55,4%</a:t>
                    </a:r>
                  </a:p>
                </c:rich>
              </c:tx>
              <c:spPr>
                <a:noFill/>
                <a:ln w="25377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7.742825015108726E-3"/>
                  <c:y val="-5.3008328441940235E-2"/>
                </c:manualLayout>
              </c:layout>
              <c:tx>
                <c:rich>
                  <a:bodyPr/>
                  <a:lstStyle/>
                  <a:p>
                    <a:pPr>
                      <a:defRPr sz="1624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34,9%</a:t>
                    </a:r>
                  </a:p>
                </c:rich>
              </c:tx>
              <c:spPr>
                <a:noFill/>
                <a:ln w="25377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1.5966254897558922E-2"/>
                  <c:y val="0.13769418980648723"/>
                </c:manualLayout>
              </c:layout>
              <c:tx>
                <c:rich>
                  <a:bodyPr/>
                  <a:lstStyle/>
                  <a:p>
                    <a:pPr>
                      <a:defRPr sz="1624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6,2%</a:t>
                    </a:r>
                  </a:p>
                </c:rich>
              </c:tx>
              <c:spPr>
                <a:noFill/>
                <a:ln w="25377"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-2.1203876136926723E-2"/>
                  <c:y val="0.12344953585113089"/>
                </c:manualLayout>
              </c:layout>
              <c:tx>
                <c:rich>
                  <a:bodyPr/>
                  <a:lstStyle/>
                  <a:p>
                    <a:pPr>
                      <a:defRPr sz="1624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3,5%
</a:t>
                    </a:r>
                  </a:p>
                </c:rich>
              </c:tx>
              <c:spPr>
                <a:noFill/>
                <a:ln w="25377">
                  <a:noFill/>
                </a:ln>
              </c:spPr>
              <c:dLblPos val="bestFit"/>
            </c:dLbl>
            <c:dLbl>
              <c:idx val="4"/>
              <c:delete val="1"/>
            </c:dLbl>
            <c:dLbl>
              <c:idx val="5"/>
              <c:layout>
                <c:manualLayout>
                  <c:xMode val="edge"/>
                  <c:yMode val="edge"/>
                  <c:x val="0.16539050535987745"/>
                  <c:y val="0.73170731707317094"/>
                </c:manualLayout>
              </c:layout>
              <c:dLblPos val="bestFit"/>
              <c:showPercent val="1"/>
            </c:dLbl>
            <c:dLbl>
              <c:idx val="6"/>
              <c:layout>
                <c:manualLayout>
                  <c:xMode val="edge"/>
                  <c:yMode val="edge"/>
                  <c:x val="6.8912710566615631E-2"/>
                  <c:y val="0.75880758807588089"/>
                </c:manualLayout>
              </c:layout>
              <c:dLblPos val="bestFit"/>
              <c:showPercent val="1"/>
            </c:dLbl>
            <c:dLbl>
              <c:idx val="7"/>
              <c:layout>
                <c:manualLayout>
                  <c:xMode val="edge"/>
                  <c:yMode val="edge"/>
                  <c:x val="2.2970903522205217E-2"/>
                  <c:y val="0.7127371273712737"/>
                </c:manualLayout>
              </c:layout>
              <c:dLblPos val="bestFit"/>
              <c:showPercent val="1"/>
            </c:dLbl>
            <c:dLbl>
              <c:idx val="8"/>
              <c:layout>
                <c:manualLayout>
                  <c:xMode val="edge"/>
                  <c:yMode val="edge"/>
                  <c:x val="3.3690658499234305E-2"/>
                  <c:y val="0.69105691056910579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16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оплата труда и начисления на оплату труда</c:v>
                </c:pt>
                <c:pt idx="1">
                  <c:v>Приобретение услуг</c:v>
                </c:pt>
                <c:pt idx="2">
                  <c:v>Прочие расходы</c:v>
                </c:pt>
                <c:pt idx="3">
                  <c:v>Увеличение стоимости материальных запасов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1370.2</c:v>
                </c:pt>
                <c:pt idx="1">
                  <c:v>861.8</c:v>
                </c:pt>
                <c:pt idx="2">
                  <c:v>152.6</c:v>
                </c:pt>
                <c:pt idx="3">
                  <c:v>87.7</c:v>
                </c:pt>
              </c:numCache>
            </c:numRef>
          </c:val>
        </c:ser>
        <c:dLbls>
          <c:showPercent val="1"/>
        </c:dLbls>
      </c:pie3DChart>
      <c:spPr>
        <a:solidFill>
          <a:srgbClr val="FFFFFF"/>
        </a:solidFill>
        <a:ln w="25377">
          <a:noFill/>
        </a:ln>
      </c:spPr>
    </c:plotArea>
    <c:legend>
      <c:legendPos val="r"/>
      <c:layout>
        <c:manualLayout>
          <c:xMode val="edge"/>
          <c:yMode val="edge"/>
          <c:x val="0.6875957120980094"/>
          <c:y val="0.29810298102981042"/>
          <c:w val="0.30781010719754992"/>
          <c:h val="0.40379403794037932"/>
        </c:manualLayout>
      </c:layout>
      <c:spPr>
        <a:solidFill>
          <a:srgbClr val="FFFFFF"/>
        </a:solidFill>
        <a:ln w="25377">
          <a:noFill/>
        </a:ln>
      </c:spPr>
      <c:txPr>
        <a:bodyPr/>
        <a:lstStyle/>
        <a:p>
          <a:pPr>
            <a:defRPr sz="89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6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8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830508474576298E-2"/>
          <c:y val="3.8363171355498722E-2"/>
          <c:w val="0.70338983050847492"/>
          <c:h val="0.841432225063938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383.7</c:v>
                </c:pt>
                <c:pt idx="1">
                  <c:v>547.1</c:v>
                </c:pt>
                <c:pt idx="2">
                  <c:v>812.7</c:v>
                </c:pt>
                <c:pt idx="3">
                  <c:v>728.8</c:v>
                </c:pt>
              </c:numCache>
            </c:numRef>
          </c:val>
        </c:ser>
        <c:gapDepth val="0"/>
        <c:shape val="box"/>
        <c:axId val="117136384"/>
        <c:axId val="117162752"/>
        <c:axId val="0"/>
      </c:bar3DChart>
      <c:catAx>
        <c:axId val="1171363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162752"/>
        <c:crosses val="autoZero"/>
        <c:auto val="1"/>
        <c:lblAlgn val="ctr"/>
        <c:lblOffset val="100"/>
        <c:tickLblSkip val="1"/>
        <c:tickMarkSkip val="1"/>
      </c:catAx>
      <c:valAx>
        <c:axId val="1171627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13638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186440677966099"/>
          <c:y val="0.46547314578005122"/>
          <c:w val="0.18135593220338983"/>
          <c:h val="7.1611253196930943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2138</Words>
  <Characters>12187</Characters>
  <Application>Microsoft Office Word</Application>
  <DocSecurity>0</DocSecurity>
  <Lines>101</Lines>
  <Paragraphs>28</Paragraphs>
  <ScaleCrop>false</ScaleCrop>
  <Company>1</Company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2017-06-28T06:48:00Z</dcterms:created>
  <dcterms:modified xsi:type="dcterms:W3CDTF">2017-06-28T06:53:00Z</dcterms:modified>
</cp:coreProperties>
</file>