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4D" w:rsidRDefault="00C0064D" w:rsidP="00C0064D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C0064D" w:rsidRDefault="00C0064D" w:rsidP="00C0064D">
      <w:pPr>
        <w:pStyle w:val="ConsPlusTitle"/>
        <w:widowControl/>
        <w:jc w:val="center"/>
      </w:pPr>
    </w:p>
    <w:p w:rsidR="00C0064D" w:rsidRDefault="00C0064D" w:rsidP="00C0064D">
      <w:pPr>
        <w:pStyle w:val="ConsPlusTitle"/>
        <w:widowControl/>
        <w:jc w:val="center"/>
      </w:pPr>
      <w:r>
        <w:t>РАСПОРЯЖЕНИЕ</w:t>
      </w:r>
    </w:p>
    <w:p w:rsidR="00C0064D" w:rsidRDefault="00C0064D" w:rsidP="00C0064D">
      <w:pPr>
        <w:pStyle w:val="ConsPlusTitle"/>
        <w:widowControl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п</w:t>
      </w:r>
      <w:proofErr w:type="gramStart"/>
      <w:r>
        <w:rPr>
          <w:bCs w:val="0"/>
          <w:sz w:val="22"/>
          <w:szCs w:val="22"/>
        </w:rPr>
        <w:t>.Г</w:t>
      </w:r>
      <w:proofErr w:type="gramEnd"/>
      <w:r>
        <w:rPr>
          <w:bCs w:val="0"/>
          <w:sz w:val="22"/>
          <w:szCs w:val="22"/>
        </w:rPr>
        <w:t>остовский</w:t>
      </w:r>
    </w:p>
    <w:p w:rsidR="00C0064D" w:rsidRDefault="00C0064D" w:rsidP="00C0064D">
      <w:pPr>
        <w:pStyle w:val="ConsPlusTitle"/>
        <w:widowControl/>
        <w:jc w:val="center"/>
        <w:rPr>
          <w:bCs w:val="0"/>
          <w:sz w:val="22"/>
          <w:szCs w:val="22"/>
        </w:rPr>
      </w:pPr>
    </w:p>
    <w:p w:rsidR="00C0064D" w:rsidRDefault="00C0064D" w:rsidP="00C0064D">
      <w:pPr>
        <w:pStyle w:val="ConsPlusTitle"/>
        <w:widowControl/>
        <w:jc w:val="center"/>
        <w:rPr>
          <w:bCs w:val="0"/>
          <w:sz w:val="22"/>
          <w:szCs w:val="22"/>
        </w:rPr>
      </w:pPr>
    </w:p>
    <w:p w:rsidR="00C0064D" w:rsidRPr="00635809" w:rsidRDefault="00C0064D" w:rsidP="00C0064D">
      <w:pPr>
        <w:pStyle w:val="ConsPlusTitle"/>
        <w:widowControl/>
        <w:jc w:val="center"/>
        <w:rPr>
          <w:bCs w:val="0"/>
          <w:sz w:val="22"/>
          <w:szCs w:val="22"/>
        </w:rPr>
      </w:pPr>
      <w:r>
        <w:rPr>
          <w:bCs w:val="0"/>
          <w:sz w:val="26"/>
          <w:szCs w:val="26"/>
          <w:u w:val="single"/>
        </w:rPr>
        <w:t xml:space="preserve">от 17  августа  2015г.№31 </w:t>
      </w:r>
    </w:p>
    <w:p w:rsidR="00C0064D" w:rsidRDefault="00C0064D" w:rsidP="00C0064D">
      <w:r>
        <w:t xml:space="preserve">                                                            </w:t>
      </w:r>
    </w:p>
    <w:p w:rsidR="00C0064D" w:rsidRDefault="00C0064D" w:rsidP="00C0064D">
      <w:pPr>
        <w:rPr>
          <w:color w:val="000000"/>
          <w:sz w:val="28"/>
          <w:szCs w:val="28"/>
        </w:rPr>
      </w:pPr>
    </w:p>
    <w:p w:rsidR="00C0064D" w:rsidRPr="004017DC" w:rsidRDefault="00C0064D" w:rsidP="00C0064D">
      <w:pPr>
        <w:pStyle w:val="1"/>
        <w:jc w:val="center"/>
        <w:rPr>
          <w:b/>
          <w:szCs w:val="24"/>
        </w:rPr>
      </w:pPr>
      <w:r w:rsidRPr="004017DC">
        <w:rPr>
          <w:b/>
          <w:szCs w:val="24"/>
        </w:rPr>
        <w:t>Об утверждении учетной политики администрации Гостовского сельского поселения Шабалинского района Кировской области</w:t>
      </w:r>
    </w:p>
    <w:p w:rsidR="00C0064D" w:rsidRPr="004017DC" w:rsidRDefault="00C0064D" w:rsidP="00C0064D">
      <w:pPr>
        <w:jc w:val="center"/>
        <w:rPr>
          <w:b/>
        </w:rPr>
      </w:pPr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0064D">
        <w:rPr>
          <w:rFonts w:ascii="Times New Roman" w:hAnsi="Times New Roman" w:cs="Times New Roman"/>
          <w:sz w:val="24"/>
          <w:szCs w:val="24"/>
        </w:rPr>
        <w:t>В соответствии со статьей 8 Федерального закона от 06.12.2011 №402-ФЗ «О бухгалтерском учете», Налоговым Кодексом РФ и приказом Минфина от 1 декабря 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Инструкции по его применению</w:t>
      </w:r>
      <w:proofErr w:type="gramStart"/>
      <w:r w:rsidRPr="00C0064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C0064D">
        <w:rPr>
          <w:rFonts w:ascii="Times New Roman" w:hAnsi="Times New Roman" w:cs="Times New Roman"/>
          <w:sz w:val="24"/>
          <w:szCs w:val="24"/>
        </w:rPr>
        <w:t xml:space="preserve"> с  последующими изменениями) (далее по тексту –Инструкция 157н)</w:t>
      </w:r>
      <w:proofErr w:type="gramStart"/>
      <w:r w:rsidRPr="00C0064D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C0064D" w:rsidRPr="00C0064D" w:rsidRDefault="00C0064D" w:rsidP="00C006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Утвердить  с 1 января 2015 года и во все последующие  периоды с внесением в  установленном порядке необходимых изменений и дополнений  Положение об учетной политике администрации Гостовского сельского поселения Шабалинского района Кировской области. Приложение №1</w:t>
      </w:r>
    </w:p>
    <w:p w:rsidR="00C0064D" w:rsidRPr="00C0064D" w:rsidRDefault="00C0064D" w:rsidP="00C0064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Утвердить рабочий план счетов бюджетного учета. Приложение №2.</w:t>
      </w:r>
    </w:p>
    <w:p w:rsidR="00C0064D" w:rsidRPr="00C0064D" w:rsidRDefault="00C0064D" w:rsidP="00C0064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Утвердить методы оценки отдельных видов имущества и обязательств. Приложение №3.</w:t>
      </w:r>
    </w:p>
    <w:p w:rsidR="00C0064D" w:rsidRPr="00C0064D" w:rsidRDefault="00C0064D" w:rsidP="00C0064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Утвердить порядок проведения инвентаризации имущества и обязательств. Приложение №4.</w:t>
      </w:r>
    </w:p>
    <w:p w:rsidR="00C0064D" w:rsidRPr="00C0064D" w:rsidRDefault="00C0064D" w:rsidP="00C0064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Утвердить график документооборота первичных учетных документов. Приложение №5.</w:t>
      </w:r>
    </w:p>
    <w:p w:rsidR="00C0064D" w:rsidRPr="00C0064D" w:rsidRDefault="00C0064D" w:rsidP="00C0064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Утвердить порядок отражения в учете событий после отчетной даты. Приложение №6.</w:t>
      </w:r>
    </w:p>
    <w:p w:rsidR="00C0064D" w:rsidRPr="00C0064D" w:rsidRDefault="00C0064D" w:rsidP="00C0064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Утвердить порядок организации и обеспечения внутреннего финансового контроля. Приложение №7.</w:t>
      </w:r>
    </w:p>
    <w:p w:rsidR="00C0064D" w:rsidRPr="00C0064D" w:rsidRDefault="00C0064D" w:rsidP="00C006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Утвердить состав постоянно действующей инвентаризационной комиссии.   Приложение №8.</w:t>
      </w:r>
    </w:p>
    <w:p w:rsidR="00C0064D" w:rsidRDefault="00C0064D" w:rsidP="00C0064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Утвердить список материально- ответственных лиц. Приложение №9.</w:t>
      </w:r>
    </w:p>
    <w:p w:rsidR="00C0064D" w:rsidRPr="00C0064D" w:rsidRDefault="00C0064D" w:rsidP="00C0064D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064D" w:rsidRPr="00C0064D" w:rsidRDefault="00C0064D" w:rsidP="00C0064D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10.Утвердить порядок формирования регистров бюджетного учета, первичных документов. Приложение №10.</w:t>
      </w:r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11.Утвердить периодичность формирования на бумажных носителях регистров бюджетного учета в условиях комплексной автоматизации бюджетного учета. Приложение №11.</w:t>
      </w:r>
    </w:p>
    <w:p w:rsidR="00C0064D" w:rsidRPr="00C0064D" w:rsidRDefault="00C0064D" w:rsidP="00C0064D">
      <w:pPr>
        <w:pStyle w:val="2"/>
        <w:spacing w:line="240" w:lineRule="auto"/>
        <w:jc w:val="both"/>
      </w:pPr>
      <w:r w:rsidRPr="00C0064D">
        <w:t>12.Утвердить перечень бланков строгой отчетности и правила их учета. Приложение №12.</w:t>
      </w:r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lastRenderedPageBreak/>
        <w:t>13.Утвердить список лиц, ответственных за ведение кассовых операций. Приложение № 13.</w:t>
      </w:r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14.Утвердить список лиц, имеющих право на получение денежных средств и  денежных документов  под отчет для хозяйственных и текущих нужд. Приложение №14.</w:t>
      </w:r>
    </w:p>
    <w:p w:rsidR="00C0064D" w:rsidRPr="00C0064D" w:rsidRDefault="00C0064D" w:rsidP="00C0064D">
      <w:pPr>
        <w:pStyle w:val="ConsPlusTitle"/>
        <w:widowControl/>
        <w:jc w:val="both"/>
        <w:rPr>
          <w:b w:val="0"/>
          <w:sz w:val="24"/>
          <w:szCs w:val="24"/>
        </w:rPr>
      </w:pPr>
      <w:r w:rsidRPr="00C0064D">
        <w:rPr>
          <w:b w:val="0"/>
          <w:sz w:val="24"/>
          <w:szCs w:val="24"/>
        </w:rPr>
        <w:t>15.Утвердить порядок выдачи  денежных средств и денежных документов под отчет и оформлению отчетов по их использованию. Приложение №15.</w:t>
      </w:r>
    </w:p>
    <w:p w:rsidR="00C0064D" w:rsidRPr="00C0064D" w:rsidRDefault="00C0064D" w:rsidP="00C006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64D">
        <w:rPr>
          <w:rFonts w:ascii="Times New Roman" w:hAnsi="Times New Roman" w:cs="Times New Roman"/>
          <w:color w:val="000000"/>
          <w:sz w:val="24"/>
          <w:szCs w:val="24"/>
        </w:rPr>
        <w:t>16.Утвердить формы документов бюджетного учета, по которым законодательством РФ не установлены  типовые формы. Приложение №16.</w:t>
      </w:r>
    </w:p>
    <w:p w:rsidR="00C0064D" w:rsidRPr="00C0064D" w:rsidRDefault="00C0064D" w:rsidP="00C006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64D">
        <w:rPr>
          <w:rFonts w:ascii="Times New Roman" w:hAnsi="Times New Roman" w:cs="Times New Roman"/>
          <w:color w:val="000000"/>
          <w:sz w:val="24"/>
          <w:szCs w:val="24"/>
        </w:rPr>
        <w:t>17.Утвердить перечень лиц, имеющих право подписи первичных учетных документов. Приложение №17.</w:t>
      </w:r>
    </w:p>
    <w:p w:rsidR="00C0064D" w:rsidRPr="00C0064D" w:rsidRDefault="00C0064D" w:rsidP="00C006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64D">
        <w:rPr>
          <w:rFonts w:ascii="Times New Roman" w:hAnsi="Times New Roman" w:cs="Times New Roman"/>
          <w:color w:val="000000"/>
          <w:sz w:val="24"/>
          <w:szCs w:val="24"/>
        </w:rPr>
        <w:t>18.</w:t>
      </w:r>
      <w:proofErr w:type="gramStart"/>
      <w:r w:rsidRPr="00C0064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0064D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распоряжения возложить на специалиста 1 категории, главного бухгалтера </w:t>
      </w:r>
      <w:proofErr w:type="spellStart"/>
      <w:r w:rsidRPr="00C0064D">
        <w:rPr>
          <w:rFonts w:ascii="Times New Roman" w:hAnsi="Times New Roman" w:cs="Times New Roman"/>
          <w:color w:val="000000"/>
          <w:sz w:val="24"/>
          <w:szCs w:val="24"/>
        </w:rPr>
        <w:t>Вахтыкову</w:t>
      </w:r>
      <w:proofErr w:type="spellEnd"/>
      <w:r w:rsidRPr="00C0064D">
        <w:rPr>
          <w:rFonts w:ascii="Times New Roman" w:hAnsi="Times New Roman" w:cs="Times New Roman"/>
          <w:color w:val="000000"/>
          <w:sz w:val="24"/>
          <w:szCs w:val="24"/>
        </w:rPr>
        <w:t xml:space="preserve"> А.В.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87"/>
        <w:gridCol w:w="788"/>
        <w:gridCol w:w="788"/>
        <w:gridCol w:w="787"/>
        <w:gridCol w:w="787"/>
        <w:gridCol w:w="1058"/>
        <w:gridCol w:w="516"/>
        <w:gridCol w:w="704"/>
        <w:gridCol w:w="787"/>
        <w:gridCol w:w="909"/>
        <w:gridCol w:w="789"/>
      </w:tblGrid>
      <w:tr w:rsidR="00C0064D" w:rsidRPr="00C0064D" w:rsidTr="00DD7EBC">
        <w:trPr>
          <w:trHeight w:val="192"/>
        </w:trPr>
        <w:tc>
          <w:tcPr>
            <w:tcW w:w="787" w:type="dxa"/>
          </w:tcPr>
          <w:p w:rsidR="00C0064D" w:rsidRPr="00C0064D" w:rsidRDefault="00C0064D" w:rsidP="00DD7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C0064D" w:rsidRPr="00C0064D" w:rsidRDefault="00C0064D" w:rsidP="00DD7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C0064D" w:rsidRPr="00C0064D" w:rsidRDefault="00C0064D" w:rsidP="00DD7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C0064D" w:rsidRPr="00C0064D" w:rsidRDefault="00C0064D" w:rsidP="00DD7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C0064D" w:rsidRPr="00C0064D" w:rsidRDefault="00C0064D" w:rsidP="00DD7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C0064D" w:rsidRPr="00C0064D" w:rsidRDefault="00C0064D" w:rsidP="00DD7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C0064D" w:rsidRPr="00C0064D" w:rsidRDefault="00C0064D" w:rsidP="00DD7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</w:tcPr>
          <w:p w:rsidR="00C0064D" w:rsidRPr="00C0064D" w:rsidRDefault="00C0064D" w:rsidP="00DD7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C0064D" w:rsidRPr="00C0064D" w:rsidRDefault="00C0064D" w:rsidP="00DD7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:rsidR="00C0064D" w:rsidRPr="00C0064D" w:rsidRDefault="00C0064D" w:rsidP="00DD7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C0064D" w:rsidRPr="00C0064D" w:rsidRDefault="00C0064D" w:rsidP="00DD7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064D" w:rsidRPr="00C0064D" w:rsidRDefault="00C0064D" w:rsidP="00C006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64D">
        <w:rPr>
          <w:rFonts w:ascii="Times New Roman" w:hAnsi="Times New Roman" w:cs="Times New Roman"/>
          <w:sz w:val="24"/>
          <w:szCs w:val="24"/>
        </w:rPr>
        <w:t>19.Настоящие распоряжение распространяется на правоотношения, возникшие с 1 января 2015 года.</w:t>
      </w:r>
      <w:proofErr w:type="gramEnd"/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 xml:space="preserve">20.Считать утратившими силу распоряжение администрации Гостовского сельского поселения Шабалинского района Кировской области: от 24 апреля 2013 года № 19 «Об учетной политике администрации Гостовского сельского поселения Шабалинского района Кировской области». </w:t>
      </w:r>
    </w:p>
    <w:p w:rsidR="00C0064D" w:rsidRPr="00C0064D" w:rsidRDefault="00C0064D" w:rsidP="00C006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Л.А.Сивкова</w:t>
      </w:r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                                                          </w:t>
      </w:r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Ознакомлены</w:t>
      </w:r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64D" w:rsidRPr="00C0064D" w:rsidRDefault="00C0064D" w:rsidP="00C0064D">
      <w:pPr>
        <w:ind w:left="5954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lastRenderedPageBreak/>
        <w:t>Приложение №1                                               к распоряжению администрации Гостовского сельского поселения Шабалинского района Кировской области «Об учетной политике администрации Гостовского сельского поселения Шабалинского района Кировской области»</w:t>
      </w:r>
    </w:p>
    <w:p w:rsidR="00C0064D" w:rsidRPr="00C0064D" w:rsidRDefault="00C0064D" w:rsidP="00C0064D">
      <w:pPr>
        <w:ind w:left="5954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от 17.08.2015 г. № 94</w:t>
      </w:r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64D" w:rsidRPr="00C0064D" w:rsidRDefault="00C0064D" w:rsidP="00C00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64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0064D" w:rsidRPr="00C0064D" w:rsidRDefault="00C0064D" w:rsidP="00C0064D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b/>
          <w:sz w:val="24"/>
          <w:szCs w:val="24"/>
        </w:rPr>
        <w:t>об учетной политике администрации Гостовского сельского поселения Шабалинского района Кировской области</w:t>
      </w:r>
    </w:p>
    <w:p w:rsidR="00C0064D" w:rsidRPr="00C0064D" w:rsidRDefault="00C0064D" w:rsidP="00C00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64D" w:rsidRPr="004017DC" w:rsidRDefault="00C0064D" w:rsidP="00C0064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0064D" w:rsidRPr="004017DC" w:rsidRDefault="00C0064D" w:rsidP="00C006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1. Организация бухгалтерского учета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1.1. Бухгалтерский учет учреждения осуществляется в соответствии с Приказами Минфина России от 01.12.2010 </w:t>
      </w:r>
      <w:hyperlink r:id="rId5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№157н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 государственных (муниципальных) учреждений и Инструкции по его применению» (с  изменениями)  (далее по тексту 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риказ МФ РФ от 01.12.2010 №157н), от 06.12.2010 </w:t>
      </w:r>
      <w:hyperlink r:id="rId6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№ 162н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«Об утверждении Плана счетов бюджетного учета и Инструкции по его применению» (с изменениями) (далее по текст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 Приказ МФ РФ от 06.12.2010 №162)  и иными законами и нормативными актами РФ, субъекта РФ, предназначенными для формирования полной и достоверной информации о финансовом, имущественном положении и финансовых результатах деятельности администрации Гостовского сельского поселения Шабалинского района Кировской области (далее по тексту- администрация поселения).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Бухгалтерский учет в администрации Гостовского сельского поселения осуществляет  специалист 1 категории, главный бухгалтер.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Право подписи денежных и расчетных  документов предоставлено: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-первая подпись: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Глава администрации Гостовского сельского поселения Сивкова Людмила Анатольевна;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Заместитель главы администрации Гостовского сельского поселения Филиппова Лариса Юрьевна;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-вторая подпись: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Специалист 1 категории, главный бухгалтер администрации Гостовского сельского поселения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Вахтыкова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Александра Викторовна;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1.2. В учреждении применяются следующие коды вида финансового обеспечения (деятельности):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- 1 - деятельность, осуществляемая за счет средств местного бюджета бюджетной системы РФ (бюджетная деятельность);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-3- средства во временном распоряжении.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lastRenderedPageBreak/>
        <w:t xml:space="preserve">1.3. Рабочий план счетов бюджетного учета Приложение № 2 разработан в соответствии с </w:t>
      </w:r>
      <w:hyperlink r:id="rId7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Планом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счетов бюджетного учета.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1.4.Обработка учетной информации осуществляется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автоматизированно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>, с применением программного продукта  «Смета КС».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1.5.Применяются унифицированные формы документов, утвержденные </w:t>
      </w:r>
      <w:hyperlink r:id="rId8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Минфина России от 15.12.2010 N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 (с изменениями) (далее по текст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 Приказ МФ РФ №173н от 15.12.2010).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Для оформления финансово-хозяйственных операций, по которым не предусмотрены типовые формы первичных учетных документов, формы разрабатываются учреждением самостоятельно. 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1.6. Данные проверенных и принятых к учету первичных учетных документов систематизируются в хронологическом порядке (по датам совершения операций) и группируются по соответствующим счетам бюджетного учета накопительным способом с отражением в следующих регистрах бухгалтерского учета: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Журнал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№1 операций по счету "Касса";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Журнал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№2 операций с безналичными денежными средствами;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Журнал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№3 операций расчетов с подотчетными лицами;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Журнал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№4 операций расчетов с поставщиками и подрядчиками;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Журнал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 №5 операций расчетов с дебиторами по доходам;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Журнал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№6  операций расчетов по оплате труда;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Журнал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№7 операций по выбытию и перемещению нефинансовых активов;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4017DC">
          <w:rPr>
            <w:rStyle w:val="a3"/>
            <w:rFonts w:ascii="Times New Roman" w:hAnsi="Times New Roman" w:cs="Times New Roman"/>
            <w:sz w:val="24"/>
            <w:szCs w:val="24"/>
          </w:rPr>
          <w:t>Журнал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№8 по прочим операциям;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 Журнал №9 по санкционированию;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- Журнал  №3Б по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забалансовым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счетам;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 Главная книга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1.7. В целях обеспечения сохранности нефинансовых активов, ответственность за их движением возлагается на материально-ответственных лиц. Приложение № 9.  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Инвентаризация имущества и обязатель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оводится в соответствии с положениями </w:t>
      </w:r>
      <w:hyperlink r:id="rId17" w:history="1">
        <w:r w:rsidRPr="004017DC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Минфина России от 13.06.1995 № 49 «Об утверждении Методических указаний по инвентаризации имущества и финансовых обязательств» (с изменениями). 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Порядок и срок сдачи бюджетной отчетности устанавливаются в соответствии с </w:t>
      </w:r>
      <w:hyperlink r:id="rId18" w:history="1">
        <w:r w:rsidRPr="004017DC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 изменениями).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1.8. Документооборот и технология  обработки  учетной информации регламентируются графиком документооборота  первичных учетных документов.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График документооборота  разрабатывается под руководством специалист 1 категории, главного бухгалтера администрации Гостовского сельского поселения и утверждается руководителем. 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7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 соблюдением графика документооборота  осуществляет специалист 1 категории, главный бухгалтер администрации Гостовского сельского поселения. </w:t>
      </w:r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 xml:space="preserve">       1.9. В целях определения целесообразности расходов в администрации Гостовского сельского поселения осуществляется внутренний финансовый </w:t>
      </w:r>
      <w:proofErr w:type="gramStart"/>
      <w:r w:rsidRPr="00C006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064D">
        <w:rPr>
          <w:rFonts w:ascii="Times New Roman" w:hAnsi="Times New Roman" w:cs="Times New Roman"/>
          <w:sz w:val="24"/>
          <w:szCs w:val="24"/>
        </w:rPr>
        <w:t xml:space="preserve"> расходованием бюджетных средств. 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1.10. 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 выполнением и отражением денежных средств, имущества и обязательств в бухгалтерском учете должны осуществлять все специалисты </w:t>
      </w:r>
      <w:r w:rsidRPr="004017DC">
        <w:rPr>
          <w:rFonts w:ascii="Times New Roman" w:hAnsi="Times New Roman" w:cs="Times New Roman"/>
          <w:sz w:val="24"/>
          <w:szCs w:val="24"/>
        </w:rPr>
        <w:lastRenderedPageBreak/>
        <w:t>администрации Гостовского сельского поселения.</w:t>
      </w:r>
    </w:p>
    <w:p w:rsidR="00C0064D" w:rsidRPr="004017DC" w:rsidRDefault="00C0064D" w:rsidP="00C006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2. Ведение бухгалтерского учета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2.1. Учет основных средств. В качестве основных сре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>инимаются к учету материальные объекты имущества независимо от их стоимости со сроком полезного использования более 12 месяцев,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работ, оказании услуг, для осуществления государственных полномочий (функций) либо управленческих нужд учреждения.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К основным средствам не относятся предметы, служащие менее 12 месяцев, независимо от их стоимости, материальные объекты имущества, относящиеся к материальным запасам.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Сроком полезного использования объекта основных средств является период, в течение которого предусматривается использование в процессе деятельности учреждения объекта нефинансовых активов в тех целях, ради которых он был приобретен или получен. Срок полезного использования объектов нефинансовых активов в целях принятия к учету в составе основных средств и начисления амортизации определяется исходя 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>: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- информации, содержащейся в законодательстве РФ, устанавливающем сроки полезного использования имущества в целях начисления амортизации. 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 xml:space="preserve">По объектам основных средств, включенным согласно Постановлению Правительства РФ от 01.01.2002 № 1 «О классификации основных средств, включаемых в амортизационные группы» в амортизационные группы с </w:t>
      </w:r>
      <w:hyperlink r:id="rId19" w:history="1">
        <w:r w:rsidRPr="004017DC">
          <w:rPr>
            <w:rFonts w:ascii="Times New Roman" w:hAnsi="Times New Roman" w:cs="Times New Roman"/>
            <w:color w:val="0000FF"/>
            <w:sz w:val="24"/>
            <w:szCs w:val="24"/>
          </w:rPr>
          <w:t>первой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20" w:history="1">
        <w:r w:rsidRPr="004017DC">
          <w:rPr>
            <w:rFonts w:ascii="Times New Roman" w:hAnsi="Times New Roman" w:cs="Times New Roman"/>
            <w:color w:val="0000FF"/>
            <w:sz w:val="24"/>
            <w:szCs w:val="24"/>
          </w:rPr>
          <w:t>девятую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, срок полезного использования определяется по наибольшему сроку, установленному для указанных амортизационных групп, в </w:t>
      </w:r>
      <w:hyperlink r:id="rId21" w:history="1">
        <w:r w:rsidRPr="004017DC">
          <w:rPr>
            <w:rFonts w:ascii="Times New Roman" w:hAnsi="Times New Roman" w:cs="Times New Roman"/>
            <w:color w:val="0000FF"/>
            <w:sz w:val="24"/>
            <w:szCs w:val="24"/>
          </w:rPr>
          <w:t>десятую амортизационную группу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- исходя из Единых </w:t>
      </w:r>
      <w:hyperlink r:id="rId22" w:history="1">
        <w:r w:rsidRPr="004017DC">
          <w:rPr>
            <w:rFonts w:ascii="Times New Roman" w:hAnsi="Times New Roman" w:cs="Times New Roman"/>
            <w:color w:val="0000FF"/>
            <w:sz w:val="24"/>
            <w:szCs w:val="24"/>
          </w:rPr>
          <w:t>норм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амортизационных отчислений на полное восстановление основных фондов народного хозяйства СССР, утвержденных Постановлением Совета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 Министров СССР от 22.10.1990 № 1072;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 рекомендаций, содержащихся в документах производителя, входящих в комплектацию объекта имущества, при отсутствии в законодательстве РФ норм, устанавливающих сроки полезного использования имущества в целях начисления амортизации, в случаях отсутствия информации в законодательстве РФ и в документах производителя - на основании решения комиссии учреждения по поступлению и выбытию активов.</w:t>
      </w:r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t xml:space="preserve">     </w:t>
      </w:r>
      <w:proofErr w:type="gramStart"/>
      <w:r w:rsidRPr="00C0064D">
        <w:rPr>
          <w:rFonts w:ascii="Times New Roman" w:hAnsi="Times New Roman" w:cs="Times New Roman"/>
          <w:sz w:val="24"/>
          <w:szCs w:val="24"/>
        </w:rPr>
        <w:t>При формировании инвентарных номеров, присваиваемых основным средствам (за исключением объектов стоимостью до 3000 руб.), применяется следующая методика: с 1-го по 3-й символ - номер счета синтетического учета, определяющий групповую принадлежность, с 4-го по 5-й символ – код аналитического учета, с 6-го по 10-й символ - индивидуальный порядковый  номер, присвоенный основному средству.</w:t>
      </w:r>
      <w:proofErr w:type="gramEnd"/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 xml:space="preserve">      Инвентарные номера, присвоенные объектам основных средств до 2011 года, оставить прежними.  Инвентарные номера наносятся на объект краской и иными способами.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пересматривается по решению комиссии по поступлению и выбытию активов.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Амортизация основных средств осуществляется линейным способом.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По основным средствам, бывшим в употреблении, поступившим от прочих юридических и физических лиц, установить срок полезного использования с учетом количества лет (месяцев) эксплуатации данного объекта.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2.2. Учет материальных запасов. К материальным запасам относятся: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lastRenderedPageBreak/>
        <w:t>- предметы, используемые в деятельности учреждения в течение периода, не превышающего 12 месяцев, независимо от их стоимости;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7DC">
        <w:rPr>
          <w:rFonts w:ascii="Times New Roman" w:hAnsi="Times New Roman" w:cs="Times New Roman"/>
          <w:sz w:val="24"/>
          <w:szCs w:val="24"/>
        </w:rPr>
        <w:t xml:space="preserve">- иные материальные ценности независимо от их стоимости и срока службы:  дыроколы,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степлеры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, подставки для бумаг, цветочные горшки, канцелярские наборы,  сетевые фильтры, подставки под календари,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мусорницы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, графины, нож, ножницы, канцелярские папки, канцелярские принадлежности, молотки, отвертки, инструменты, штампы, диски, дискеты, портативные дисководы, плечики, ведра, лопаты, лупы, оснастка печати, оснастка штампа, клише печати, клише штампа,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карты и др.</w:t>
      </w:r>
      <w:proofErr w:type="gramEnd"/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Единицей материальных запасов является номенклатурный номер.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Материальные запасы принимаются к учету по фактической стоимости.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Фактическая стоимость материальных запасов, остающихся у учреждения в результате разборки, утилизации основных средств или иного имущества, определяется исходя из их текущей рыночной стоимости на дату принятия к бухгалтерскому учету, а также сумм, уплачиваемых учреждением за доставку материальных запасов и приведение их в состояние, пригодное для использования.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Выбытие, списание материальных запасов осуществляется по  средней фактической стоимости.</w:t>
      </w:r>
    </w:p>
    <w:p w:rsidR="00C0064D" w:rsidRPr="004017DC" w:rsidRDefault="00C0064D" w:rsidP="00C006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     2.3. Учет на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счетах. Учет  основных средств стоимостью менее 3000 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 включительно, списанных с баланса и переданных в эксплуатацию,  осуществляется на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счете 21 «Основные средства, стоимостью до 3000 рублей включительно, в эксплуатации».        Принятие к учету  объектов основных средств, стоимостью до 3000 рублей производить  на основании первичного документа, подтверждающего  ввод в эксплуатацию по балансовой стоимости введенного в эксплуатацию объекта.  </w:t>
      </w:r>
    </w:p>
    <w:p w:rsidR="00C0064D" w:rsidRPr="004017DC" w:rsidRDefault="00C0064D" w:rsidP="00C006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       Выбытие  объектов основных сре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 xml:space="preserve">дств с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>балансового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счета, в том числе в связи с выявлением порчи, хищений, недостачи и (или) принятия  решения об их списании (уничтожении),  производится на основании Акта о списании объекта основных средств (кроме автотранспортных средств) ф.0306003.</w:t>
      </w:r>
    </w:p>
    <w:p w:rsidR="00C0064D" w:rsidRPr="004017DC" w:rsidRDefault="00C0064D" w:rsidP="00C006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      Передача введенных в эксплуатацию объектов основных сре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езвозмездное пользование производится на основании Акта приема- передачи  групп объектов основных средств (кроме зданий и сооружений) ф.0306031. </w:t>
      </w:r>
    </w:p>
    <w:p w:rsidR="00C0064D" w:rsidRPr="004017DC" w:rsidRDefault="00C0064D" w:rsidP="00C006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      Внутреннее  перемещение основных средств, числящихся на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счетах, осуществлять по  Требованию - накладной (ф.0315006).</w:t>
      </w:r>
    </w:p>
    <w:p w:rsidR="00C0064D" w:rsidRPr="004017DC" w:rsidRDefault="00C0064D" w:rsidP="00C006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      Аналитический учет по счету 21 «Основные средства, стоимостью до 3000 рублей включительно, в эксплуатации» ведется  по количеству и сумме в разрезе материально- ответственных лиц в карточках количественно-суммового учета  материальных ценностей  ф.0504041.  Основным средствам  стоимостью до 3000 рублей,  учитываемым на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счете 1.21 ,  присваивается  порядковый номенклатурный номер.</w:t>
      </w:r>
    </w:p>
    <w:p w:rsidR="00C0064D" w:rsidRPr="004017DC" w:rsidRDefault="00C0064D" w:rsidP="00C006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      Списание и передача  имущества, числящегося на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счете  1.21 «Основные средства, стоимостью до 3000 рублей включительно, в эксплуатации» производится без согласования  с вышестоящей  организацией (поселения), собственника.</w:t>
      </w:r>
    </w:p>
    <w:p w:rsidR="00C0064D" w:rsidRPr="004017DC" w:rsidRDefault="00C0064D" w:rsidP="00C006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       Учет программных средств, на которые у  учреждения нет исключительных прав  на их использование, ведется на 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счете 01 «Имущество, полученное в пользование» по стоимости, определяемой исходя из размера вознаграждения, установленного в договоре.</w:t>
      </w:r>
    </w:p>
    <w:p w:rsidR="00C0064D" w:rsidRPr="004017DC" w:rsidRDefault="00C0064D" w:rsidP="00C006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        Аналитический учет ведется по количеству и сумме в разрезе материально- ответственных лиц в Карточках количественно- суммового учета материальных ценностей ф.05034041. Списание программных сре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оизводить по Акту на списание материальных запасов ф.0504230. </w:t>
      </w:r>
    </w:p>
    <w:p w:rsidR="00C0064D" w:rsidRPr="004017DC" w:rsidRDefault="00C0064D" w:rsidP="00C006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     Внутреннее  перемещение программных средств, числящихся на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счетах, осуществляется по  Требованию - накладной (ф.0315006).</w:t>
      </w:r>
    </w:p>
    <w:p w:rsidR="00C0064D" w:rsidRPr="004017DC" w:rsidRDefault="00C0064D" w:rsidP="00C0064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забалансовм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счете 03 «Бланки строгой отчетности» учитывать бланки строгой отчетности</w:t>
      </w:r>
    </w:p>
    <w:p w:rsidR="00C0064D" w:rsidRPr="004017DC" w:rsidRDefault="00C0064D" w:rsidP="00C0064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Выбытие  бланков строгой отчетности при их оформлении (выдаче) передаче иному юридическому лицу, ответственному за их оформление (выдачу), а также  в связи с выявлением порчи, хищений, недостачи и (или) принятия  решения об их списании (уничтожении),  производить на основании Акта о списании материальных запасов  ф.0504230 по средней фактической стоимости.</w:t>
      </w:r>
    </w:p>
    <w:p w:rsidR="00C0064D" w:rsidRPr="004017DC" w:rsidRDefault="00C0064D" w:rsidP="00C0064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счете 09 «Запасные части к транспортным средствам, выданным взамен 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изношенных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>» учитывать: двигатели, аккумуляторы, шины, покрышки, диски, выданные взамен изношенных.</w:t>
      </w:r>
    </w:p>
    <w:p w:rsidR="00C0064D" w:rsidRPr="004017DC" w:rsidRDefault="00C0064D" w:rsidP="00C0064D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2.4. Возврат денежных документов, выданных в подотчет, в кассу производится в последний  рабочий день декабря.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2.5. Учет расчетов по принятым обязательствам. 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Дебиторскую и кредиторскую задолженность с истекшими сроками исковой давности, нереальную (безнадежную) для взыскания (задолженность, по которой истек установленный срок исковой давности, а также другие долги, по которым в соответствии с гражданским законодательством обязательства прекращены вследствие невозможности их исполнения), списывают по каждому обязательству отдельно на основании акта государственного органа или документа о ликвидации организации, данных проведенной инвентаризации и приказа учреждения.</w:t>
      </w:r>
      <w:proofErr w:type="gramEnd"/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пропуске сроков исковой давности, привлекаются к ответственности (включая </w:t>
      </w:r>
      <w:proofErr w:type="gramStart"/>
      <w:r w:rsidRPr="004017DC">
        <w:rPr>
          <w:rFonts w:ascii="Times New Roman" w:hAnsi="Times New Roman" w:cs="Times New Roman"/>
          <w:sz w:val="24"/>
          <w:szCs w:val="24"/>
        </w:rPr>
        <w:t>материальную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) в соответствии с действующим законодательством. Срок исковой давности определяется </w:t>
      </w:r>
      <w:hyperlink r:id="rId23" w:history="1">
        <w:r w:rsidRPr="004017DC">
          <w:rPr>
            <w:rFonts w:ascii="Times New Roman" w:hAnsi="Times New Roman" w:cs="Times New Roman"/>
            <w:color w:val="0000FF"/>
            <w:sz w:val="24"/>
            <w:szCs w:val="24"/>
          </w:rPr>
          <w:t>ст. ст. 195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4017DC">
          <w:rPr>
            <w:rFonts w:ascii="Times New Roman" w:hAnsi="Times New Roman" w:cs="Times New Roman"/>
            <w:color w:val="0000FF"/>
            <w:sz w:val="24"/>
            <w:szCs w:val="24"/>
          </w:rPr>
          <w:t>208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ГК РФ.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2.6. Учет вложений в нефинансовые активы. Фактические затраты на основные средства и материальные запасы при их приобретении, модернизации, реконструкции, достройке, дооборудовании, которые впоследствии будут приняты к учету, отражаются на счетах: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- 0 106 11 000 «Вложения в основные средства - недвижимое имущество учреждения»;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-0 106 31 000 «Вложения в основные средства - иное движимое имущество учреждения»;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- 0 106 34 000 «Вложения в материальные запасы - иное движимое имущество учреждения».</w:t>
      </w:r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t xml:space="preserve">          </w:t>
      </w:r>
      <w:r w:rsidRPr="00C0064D">
        <w:rPr>
          <w:rFonts w:ascii="Times New Roman" w:hAnsi="Times New Roman" w:cs="Times New Roman"/>
          <w:sz w:val="24"/>
          <w:szCs w:val="24"/>
        </w:rPr>
        <w:t>2.7.Учет санкционирования расходов бюджета осуществляется в соответствии с Приказом МФ РФ от 01.12.2010 №157н,  Приказом МФ РФ от 06.12.2010 № 162н. Операции по принятию бюджетных обязательств отражаются по договорам, контрактам, счетам, счетам-фактурам, расчетно-платежным ведомостям, накладным, авансовым отчетам, товарным чекам, регистрам налогового учета, учета начисленных страховых взносов, уведомлениям по предоставлению межбюджетных трансфертов в текущем финансовом году поселениям и иным документам, подтверждающим возникновение бюджетных обязательств. Операции по принятию денежных обязательств отражаются по счетам, счетам-фактурам, накладным, товарным чекам, по авансовым отчетам, расчетно-платежным ведомостям, регистрам налогового учета и учета начисленных страховых взносов, иным документам, подтверждающих возникновение денежных обязательств.</w:t>
      </w:r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 xml:space="preserve">     По завершении текущего финансового года показатели (остатки) по соответствующим аналитическим счетам учета бюджетных ассигнований, лимитов бюджетных обязательств и утвержденных сметных (плановых, прогнозных) назначений по доходам (поступлениям), расходам (выплатам) текущего финансового года на следующий год не переносятся.</w:t>
      </w:r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lastRenderedPageBreak/>
        <w:t xml:space="preserve">     Показатели (остатки) по соответствующим счетам санкционирования расходов, сформированные в отчетном финансовом году за первый, и второй </w:t>
      </w:r>
      <w:proofErr w:type="gramStart"/>
      <w:r w:rsidRPr="00C0064D">
        <w:rPr>
          <w:rFonts w:ascii="Times New Roman" w:hAnsi="Times New Roman" w:cs="Times New Roman"/>
          <w:sz w:val="24"/>
          <w:szCs w:val="24"/>
        </w:rPr>
        <w:t>годы, следующие за текущим финансовым годом обнуляются</w:t>
      </w:r>
      <w:proofErr w:type="gramEnd"/>
      <w:r w:rsidRPr="00C0064D">
        <w:rPr>
          <w:rFonts w:ascii="Times New Roman" w:hAnsi="Times New Roman" w:cs="Times New Roman"/>
          <w:sz w:val="24"/>
          <w:szCs w:val="24"/>
        </w:rPr>
        <w:t xml:space="preserve"> и не переносятся на соответствующие финансовые годы.</w:t>
      </w:r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0064D">
        <w:rPr>
          <w:rFonts w:ascii="Times New Roman" w:hAnsi="Times New Roman" w:cs="Times New Roman"/>
          <w:sz w:val="24"/>
          <w:szCs w:val="24"/>
        </w:rPr>
        <w:t>Операции по санкционированию на соответствующих аналитических счетах на текущий (очередной, первый год, следующий за очередным, второй год, следующий за очередным), производятся ежегодно на основании доведенных финансовым органом ассигнований, лимитов и прогнозных показателей по доходам в соответствии с законом (решением) о бюджете на очередной финансовый год и соответствующие плановые периоды.</w:t>
      </w:r>
      <w:proofErr w:type="gramEnd"/>
    </w:p>
    <w:p w:rsidR="00C0064D" w:rsidRPr="00C0064D" w:rsidRDefault="00C0064D" w:rsidP="00C0064D">
      <w:pPr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 xml:space="preserve">   2.8. </w:t>
      </w:r>
      <w:proofErr w:type="gramStart"/>
      <w:r w:rsidRPr="00C0064D">
        <w:rPr>
          <w:rFonts w:ascii="Times New Roman" w:hAnsi="Times New Roman" w:cs="Times New Roman"/>
          <w:sz w:val="24"/>
          <w:szCs w:val="24"/>
        </w:rPr>
        <w:t>Аналитический учет по счетам 1 205 00 000 «Расчеты по доходам», 1 206 00 000 «Расчеты по выданным авансам», 1 208 00 000 «Расчеты с подотчетными лицами», 1 302 00 000 «Расчеты по приятым обязательствам», 1 303 00 000 «Расчеты по платежам в бюджет» ведется в Карточке учета средств и расчетов.</w:t>
      </w:r>
      <w:proofErr w:type="gramEnd"/>
    </w:p>
    <w:p w:rsidR="00C0064D" w:rsidRPr="004017DC" w:rsidRDefault="00C0064D" w:rsidP="00C0064D">
      <w:pPr>
        <w:ind w:left="360"/>
        <w:jc w:val="both"/>
      </w:pP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                     3. Ведение кассовых операций.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3.1.Ведение кассовых операций осуществлять в соответствии с указаниями Банка России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зарегистрированного в Минюсте РФ 23 мая 2014 г. № 32404 (с изменениями).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3.2.Список лиц, ответственных за ведение кассовых операций определен в приложении №13.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64D" w:rsidRPr="004017DC" w:rsidRDefault="00C0064D" w:rsidP="00C006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4. Учетная политика для целей налогообложения.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4.1. Налоговый учет ведется в соответствии с Налоговым </w:t>
      </w:r>
      <w:hyperlink r:id="rId25" w:history="1">
        <w:r w:rsidRPr="004017D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017DC">
        <w:rPr>
          <w:rFonts w:ascii="Times New Roman" w:hAnsi="Times New Roman" w:cs="Times New Roman"/>
          <w:sz w:val="24"/>
          <w:szCs w:val="24"/>
        </w:rPr>
        <w:t xml:space="preserve"> (НК РФ) и иными нормативными правовыми актами Российской Федерации по вопросам налогообложения.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4.2. Основными задачами налогового учета являются: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-формирование полной и достоверной информации для определения налоговой базы;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-обеспечение своевременного представления налоговых деклараций и другой информации в налоговые органы.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4.3 Налоговый учет осуществляет специалист 1 категории, главный бухгалтер.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 xml:space="preserve">  4.4. Для подтверждения данных налогового учета применяются первичные документы, регистры бухгалтерского учета и бухгалтерские справки, оформленные Налоговый учет ведется с применением регистров бухгалтерского учета, утвержденных  Приказом МФ РФ №173н от 15.12.2010.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7DC">
        <w:rPr>
          <w:rFonts w:ascii="Times New Roman" w:hAnsi="Times New Roman" w:cs="Times New Roman"/>
          <w:sz w:val="24"/>
          <w:szCs w:val="24"/>
        </w:rPr>
        <w:t>4.6.Учет сумм начисленных выплат и иных вознаграждений, выплаченных физическим лицам, а также сумм страховых взносов в Пенсионный фонд России, сумм в ТФОМС и социального страхования, относящихся к ним, по каждому физическому лицу, в пользу которого осуществлялись выплаты. Ведется в индивидуальных карточках по форме, утвержденной Министерством по налогам и сборам РФ.</w:t>
      </w:r>
    </w:p>
    <w:p w:rsidR="00C0064D" w:rsidRPr="004017DC" w:rsidRDefault="00C0064D" w:rsidP="00C00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7D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017DC">
        <w:rPr>
          <w:rFonts w:ascii="Times New Roman" w:hAnsi="Times New Roman" w:cs="Times New Roman"/>
          <w:sz w:val="24"/>
          <w:szCs w:val="24"/>
        </w:rPr>
        <w:t xml:space="preserve"> за ведение карточек формы №1-НДФЛ и карточек индивидуального учета сумм начисленных выплат и иных вознаграждений и сумм начисленных страховых взносов назначить специалиста 1 категории, главного бухгалтер </w:t>
      </w:r>
      <w:proofErr w:type="spellStart"/>
      <w:r w:rsidRPr="004017DC">
        <w:rPr>
          <w:rFonts w:ascii="Times New Roman" w:hAnsi="Times New Roman" w:cs="Times New Roman"/>
          <w:sz w:val="24"/>
          <w:szCs w:val="24"/>
        </w:rPr>
        <w:t>Вахтыкову</w:t>
      </w:r>
      <w:proofErr w:type="spellEnd"/>
      <w:r w:rsidRPr="004017DC">
        <w:rPr>
          <w:rFonts w:ascii="Times New Roman" w:hAnsi="Times New Roman" w:cs="Times New Roman"/>
          <w:sz w:val="24"/>
          <w:szCs w:val="24"/>
        </w:rPr>
        <w:t xml:space="preserve"> Александру Викторовну. </w:t>
      </w:r>
    </w:p>
    <w:p w:rsidR="00C0064D" w:rsidRPr="004017DC" w:rsidRDefault="00C0064D" w:rsidP="00C0064D">
      <w:pPr>
        <w:jc w:val="both"/>
      </w:pPr>
      <w:r w:rsidRPr="004017DC">
        <w:t xml:space="preserve">    </w:t>
      </w:r>
    </w:p>
    <w:p w:rsidR="00C0064D" w:rsidRPr="004017DC" w:rsidRDefault="00C0064D" w:rsidP="00C0064D">
      <w:pPr>
        <w:ind w:left="360"/>
        <w:jc w:val="both"/>
      </w:pPr>
    </w:p>
    <w:p w:rsidR="00C0064D" w:rsidRPr="004017DC" w:rsidRDefault="00C0064D" w:rsidP="00C0064D">
      <w:pPr>
        <w:ind w:left="360"/>
        <w:jc w:val="both"/>
      </w:pPr>
      <w:r w:rsidRPr="004017DC">
        <w:t xml:space="preserve">         </w:t>
      </w:r>
    </w:p>
    <w:p w:rsidR="00C0064D" w:rsidRPr="00C0064D" w:rsidRDefault="00C0064D" w:rsidP="00C006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5. Изменение учетной политики.</w:t>
      </w:r>
    </w:p>
    <w:p w:rsidR="00C0064D" w:rsidRPr="00C0064D" w:rsidRDefault="00C0064D" w:rsidP="00C006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0064D" w:rsidRPr="00C0064D" w:rsidRDefault="00C0064D" w:rsidP="00C006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 xml:space="preserve">      Учетная политика администрации Гостовского сельского поселения Шабалинского района применяется с момента ее утверждения последовательно из года в год. Изменение учетной политики производится при следующих условиях:</w:t>
      </w:r>
    </w:p>
    <w:p w:rsidR="00C0064D" w:rsidRPr="00C0064D" w:rsidRDefault="00C0064D" w:rsidP="00C006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-  в случае изменения требований, установленных законодательством  Российской Федерации и о бухгалтерском учете, федеральными и (или) отраслевыми стандартами;</w:t>
      </w:r>
    </w:p>
    <w:p w:rsidR="00C0064D" w:rsidRPr="00C0064D" w:rsidRDefault="00C0064D" w:rsidP="00C006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>-  разработке или выборе нового способа ведения бухгалтерского учета, применение которого приводит к повышению качества информации об объекте бухгалтерского учета;</w:t>
      </w:r>
    </w:p>
    <w:p w:rsidR="00C0064D" w:rsidRPr="00C0064D" w:rsidRDefault="00C0064D" w:rsidP="00C006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064D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C0064D">
        <w:rPr>
          <w:rFonts w:ascii="Times New Roman" w:hAnsi="Times New Roman" w:cs="Times New Roman"/>
          <w:sz w:val="24"/>
          <w:szCs w:val="24"/>
        </w:rPr>
        <w:t>существенном</w:t>
      </w:r>
      <w:proofErr w:type="gramEnd"/>
      <w:r w:rsidRPr="00C0064D">
        <w:rPr>
          <w:rFonts w:ascii="Times New Roman" w:hAnsi="Times New Roman" w:cs="Times New Roman"/>
          <w:sz w:val="24"/>
          <w:szCs w:val="24"/>
        </w:rPr>
        <w:t xml:space="preserve"> изменении условий деятельности экономического субъекта.</w:t>
      </w:r>
    </w:p>
    <w:p w:rsidR="00C0064D" w:rsidRPr="00C0064D" w:rsidRDefault="00C0064D" w:rsidP="00C006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0064D" w:rsidRPr="00C0064D" w:rsidRDefault="00C0064D" w:rsidP="00C006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0064D" w:rsidRDefault="00C0064D" w:rsidP="00C0064D">
      <w:pPr>
        <w:rPr>
          <w:color w:val="000000"/>
          <w:sz w:val="28"/>
          <w:szCs w:val="28"/>
        </w:rPr>
      </w:pPr>
    </w:p>
    <w:p w:rsidR="00000000" w:rsidRDefault="00C0064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2FF"/>
    <w:multiLevelType w:val="multilevel"/>
    <w:tmpl w:val="FEB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0064D"/>
    <w:rsid w:val="00C0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6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64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C00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C0064D"/>
    <w:rPr>
      <w:color w:val="0000FF"/>
      <w:u w:val="single"/>
    </w:rPr>
  </w:style>
  <w:style w:type="paragraph" w:customStyle="1" w:styleId="ConsPlusNonformat">
    <w:name w:val="ConsPlusNonformat"/>
    <w:rsid w:val="00C00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C006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064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00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6B0CE849594D1E103F38FE3B774F6033880A6AEB64B5F091D7765FEIDhFI" TargetMode="External"/><Relationship Id="rId13" Type="http://schemas.openxmlformats.org/officeDocument/2006/relationships/hyperlink" Target="consultantplus://offline/ref=BC16B0CE849594D1E103F38FE3B774F6033880A6AEB64B5F091D7765FEDF129EA5D4476E1CC083C8I5hEI" TargetMode="External"/><Relationship Id="rId18" Type="http://schemas.openxmlformats.org/officeDocument/2006/relationships/hyperlink" Target="consultantplus://offline/ref=BC16B0CE849594D1E103F38FE3B774F6033880A2A2B64B5F091D7765FEIDhF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16B0CE849594D1E103F38FE3B774F603388FACA8B04B5F091D7765FEDF129EA5D4476E1CC082C5I5hAI" TargetMode="External"/><Relationship Id="rId7" Type="http://schemas.openxmlformats.org/officeDocument/2006/relationships/hyperlink" Target="consultantplus://offline/ref=BC16B0CE849594D1E103F38FE3B774F603388FA3ACB94B5F091D7765FEDF129EA5D4476E1CC181C1I5hDI" TargetMode="External"/><Relationship Id="rId12" Type="http://schemas.openxmlformats.org/officeDocument/2006/relationships/hyperlink" Target="consultantplus://offline/ref=BC16B0CE849594D1E103F38FE3B774F6033880A6AEB64B5F091D7765FEDF129EA5D4476E1CC083C8I5hEI" TargetMode="External"/><Relationship Id="rId17" Type="http://schemas.openxmlformats.org/officeDocument/2006/relationships/hyperlink" Target="consultantplus://offline/ref=BC16B0CE849594D1E103F38FE3B774F603388FACACB14B5F091D7765FEIDhFI" TargetMode="External"/><Relationship Id="rId25" Type="http://schemas.openxmlformats.org/officeDocument/2006/relationships/hyperlink" Target="consultantplus://offline/ref=BC16B0CE849594D1E103F38FE3B774F603398DA3A3B44B5F091D7765FEIDh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16B0CE849594D1E103F38FE3B774F6033880A6AEB64B5F091D7765FEDF129EA5D4476E1CC083C8I5hEI" TargetMode="External"/><Relationship Id="rId20" Type="http://schemas.openxmlformats.org/officeDocument/2006/relationships/hyperlink" Target="consultantplus://offline/ref=BC16B0CE849594D1E103F38FE3B774F603388FACA8B04B5F091D7765FEDF129EA5D4476E1CC083C6I5hD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16B0CE849594D1E103F38FE3B774F603388FA3ACB94B5F091D7765FEIDhFI" TargetMode="External"/><Relationship Id="rId11" Type="http://schemas.openxmlformats.org/officeDocument/2006/relationships/hyperlink" Target="consultantplus://offline/ref=BC16B0CE849594D1E103F38FE3B774F6033880A6AEB64B5F091D7765FEDF129EA5D4476E1CC083C8I5hEI" TargetMode="External"/><Relationship Id="rId24" Type="http://schemas.openxmlformats.org/officeDocument/2006/relationships/hyperlink" Target="consultantplus://offline/ref=BC16B0CE849594D1E103F38FE3B774F603398AA2ACB14B5F091D7765FEDF129EA5D4476E1CC080C1I5h8I" TargetMode="External"/><Relationship Id="rId5" Type="http://schemas.openxmlformats.org/officeDocument/2006/relationships/hyperlink" Target="consultantplus://offline/ref=BC16B0CE849594D1E103F38FE3B774F603388FA2AEB14B5F091D7765FEIDhFI" TargetMode="External"/><Relationship Id="rId15" Type="http://schemas.openxmlformats.org/officeDocument/2006/relationships/hyperlink" Target="consultantplus://offline/ref=BC16B0CE849594D1E103F38FE3B774F6033880A6AEB64B5F091D7765FEDF129EA5D4476E1CC083C8I5hEI" TargetMode="External"/><Relationship Id="rId23" Type="http://schemas.openxmlformats.org/officeDocument/2006/relationships/hyperlink" Target="consultantplus://offline/ref=BC16B0CE849594D1E103F38FE3B774F603398AA2ACB14B5F091D7765FEDF129EA5D4476E1CC081C7I5hBI" TargetMode="External"/><Relationship Id="rId10" Type="http://schemas.openxmlformats.org/officeDocument/2006/relationships/hyperlink" Target="consultantplus://offline/ref=BC16B0CE849594D1E103F38FE3B774F6033880A6AEB64B5F091D7765FEDF129EA5D4476E1CC083C8I5hEI" TargetMode="External"/><Relationship Id="rId19" Type="http://schemas.openxmlformats.org/officeDocument/2006/relationships/hyperlink" Target="consultantplus://offline/ref=BC16B0CE849594D1E103F38FE3B774F603388FACA8B04B5F091D7765FEDF129EA5D4476E1CC181C1I5h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16B0CE849594D1E103F38FE3B774F6033880A6AEB64B5F091D7765FEDF129EA5D4476E1CC083C8I5hEI" TargetMode="External"/><Relationship Id="rId14" Type="http://schemas.openxmlformats.org/officeDocument/2006/relationships/hyperlink" Target="consultantplus://offline/ref=BC16B0CE849594D1E103F38FE3B774F6033880A6AEB64B5F091D7765FEDF129EA5D4476E1CC083C8I5hEI" TargetMode="External"/><Relationship Id="rId22" Type="http://schemas.openxmlformats.org/officeDocument/2006/relationships/hyperlink" Target="consultantplus://offline/ref=BC16B0CE849594D1E103F38FE3B774F603318AA2A0E71C5D58487960F68F5A8EEB914A6F1CC2I8h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3754</Words>
  <Characters>21401</Characters>
  <Application>Microsoft Office Word</Application>
  <DocSecurity>0</DocSecurity>
  <Lines>178</Lines>
  <Paragraphs>50</Paragraphs>
  <ScaleCrop>false</ScaleCrop>
  <Company>1</Company>
  <LinksUpToDate>false</LinksUpToDate>
  <CharactersWithSpaces>25105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2015-10-16T07:57:00Z</dcterms:created>
  <dcterms:modified xsi:type="dcterms:W3CDTF">2015-10-16T08:00:00Z</dcterms:modified>
</cp:coreProperties>
</file>