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0B4B29" w:rsidRDefault="00E676BC" w:rsidP="00B33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Исполнение консолидированного бюджета </w:t>
      </w:r>
      <w:proofErr w:type="spellStart"/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январь-</w:t>
      </w:r>
      <w:r w:rsidR="003D0E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июнь</w:t>
      </w:r>
      <w:r w:rsidR="002E6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BE0B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</w:t>
      </w:r>
    </w:p>
    <w:p w:rsidR="00E676BC" w:rsidRDefault="00E676BC" w:rsidP="00E6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Доходная часть консолидированного бюджета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безвозмездных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за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</w:t>
      </w:r>
      <w:proofErr w:type="gramStart"/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0E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D0E72">
        <w:rPr>
          <w:rFonts w:ascii="Times New Roman" w:eastAsia="Times New Roman" w:hAnsi="Times New Roman"/>
          <w:sz w:val="24"/>
          <w:szCs w:val="24"/>
          <w:lang w:eastAsia="ru-RU"/>
        </w:rPr>
        <w:t xml:space="preserve">юнь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E0B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A16A2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сумме </w:t>
      </w:r>
      <w:r w:rsidR="003D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186889,6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или на </w:t>
      </w:r>
      <w:r w:rsidR="003D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33,4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уточненному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годовому плану. </w:t>
      </w:r>
    </w:p>
    <w:p w:rsidR="00E676BC" w:rsidRPr="00172AE6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налоговы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м доходам на </w:t>
      </w:r>
      <w:r w:rsidR="003D0E72">
        <w:rPr>
          <w:rFonts w:ascii="Times New Roman" w:eastAsia="Times New Roman" w:hAnsi="Times New Roman"/>
          <w:sz w:val="24"/>
          <w:szCs w:val="24"/>
          <w:lang w:eastAsia="ru-RU"/>
        </w:rPr>
        <w:t xml:space="preserve">11 702,1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неналоговы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E72">
        <w:rPr>
          <w:rFonts w:ascii="Times New Roman" w:eastAsia="Times New Roman" w:hAnsi="Times New Roman"/>
          <w:sz w:val="24"/>
          <w:szCs w:val="24"/>
          <w:lang w:eastAsia="ru-RU"/>
        </w:rPr>
        <w:t xml:space="preserve">909,9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 безвозмездным поступлениям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D0E72">
        <w:rPr>
          <w:rFonts w:ascii="Times New Roman" w:eastAsia="Times New Roman" w:hAnsi="Times New Roman"/>
          <w:sz w:val="24"/>
          <w:szCs w:val="24"/>
          <w:lang w:eastAsia="ru-RU"/>
        </w:rPr>
        <w:t xml:space="preserve">17 347,7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</w:t>
      </w:r>
    </w:p>
    <w:p w:rsidR="00B339C5" w:rsidRDefault="00E676BC" w:rsidP="00E676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доходов консолидированного бюджета в сравнении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аналогичным периодом прошлого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тыс. рублей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6BC" w:rsidRDefault="0073729B" w:rsidP="00005A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4520" cy="3248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3B9" w:rsidRDefault="00C7691E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поступлений налоговых доходов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к уровню прошлого года на 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(на </w:t>
      </w:r>
      <w:proofErr w:type="gramEnd"/>
    </w:p>
    <w:p w:rsidR="00E676BC" w:rsidRDefault="00A531B5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11 702,1</w:t>
      </w:r>
      <w:r w:rsidR="00C7691E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рублей). </w:t>
      </w:r>
      <w:proofErr w:type="gramEnd"/>
    </w:p>
    <w:p w:rsidR="00793EE9" w:rsidRDefault="0033033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поступлений отмечается: </w:t>
      </w:r>
    </w:p>
    <w:p w:rsidR="00A531B5" w:rsidRDefault="00A531B5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доходы физических лиц 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3,1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%, или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341,5тыс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B5BDF" w:rsidRDefault="002B5BDF" w:rsidP="002B5BD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налогу, взимаемому в связи с применением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упрощенной систем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налогообложения – на 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>49,2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 xml:space="preserve">8 592,7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рублей; </w:t>
      </w:r>
    </w:p>
    <w:p w:rsidR="009153B9" w:rsidRDefault="009153B9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от уплаты акцизов на нефтепродукты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21,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A531B5">
        <w:rPr>
          <w:rFonts w:ascii="Times New Roman" w:eastAsia="Times New Roman" w:hAnsi="Times New Roman"/>
          <w:sz w:val="24"/>
          <w:szCs w:val="24"/>
          <w:lang w:eastAsia="ru-RU"/>
        </w:rPr>
        <w:t>1 215,0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6A33" w:rsidRDefault="009B6A33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единому сельхозналогу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75A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7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раза,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C75AF">
        <w:rPr>
          <w:rFonts w:ascii="Times New Roman" w:eastAsia="Times New Roman" w:hAnsi="Times New Roman"/>
          <w:sz w:val="24"/>
          <w:szCs w:val="24"/>
          <w:lang w:eastAsia="ru-RU"/>
        </w:rPr>
        <w:t>624,1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33B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организаций – на 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 xml:space="preserve">312,1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2475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земельному налогу – на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 или на 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 xml:space="preserve">325,4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2475" w:rsidRDefault="00B66F7B" w:rsidP="0049247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госпошлине  </w:t>
      </w:r>
      <w:proofErr w:type="gramStart"/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 xml:space="preserve"> 7,3 раза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628C0">
        <w:rPr>
          <w:rFonts w:ascii="Times New Roman" w:eastAsia="Times New Roman" w:hAnsi="Times New Roman"/>
          <w:sz w:val="24"/>
          <w:szCs w:val="24"/>
          <w:lang w:eastAsia="ru-RU"/>
        </w:rPr>
        <w:t xml:space="preserve">1906,4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A33" w:rsidRDefault="00B66F7B" w:rsidP="009B6A33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сложилось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по единому налогу на вмененный доход –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1 3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с применением патентной системы </w:t>
      </w:r>
      <w:proofErr w:type="gramStart"/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–н</w:t>
      </w:r>
      <w:proofErr w:type="gramEnd"/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15,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3 %, или на 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133,2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налогу на имущество физических лиц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,1 %, или на 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148,0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неналоговых доходов к уровню прошлого года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 xml:space="preserve">909,9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на 11,2 %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B3526" w:rsidRPr="00BB56BD" w:rsidRDefault="00E676BC" w:rsidP="001C6803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бюджета в отчетном году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увеличились</w:t>
      </w:r>
      <w:r w:rsidR="00FB3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7 384,1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16F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1C68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асходная часть консолидированного бюджета района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отчетный период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объеме </w:t>
      </w:r>
      <w:r w:rsidR="0051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166 140,4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28,8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годовому плану.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сравнению с прошл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кассовые расходы в целом 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увеличились 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="0051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23 534,3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(на </w:t>
      </w:r>
      <w:r w:rsidR="0051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16,5</w:t>
      </w:r>
      <w:r w:rsidR="00FA2D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расходов бюджета основную долю занимают расходы </w:t>
      </w:r>
      <w:proofErr w:type="gramStart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–  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A44357" w:rsidRPr="00A44357" w:rsidRDefault="00A44357" w:rsidP="00A4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общегосударственные вопросы – 21,3 %;</w:t>
      </w:r>
    </w:p>
    <w:p w:rsidR="008A38B9" w:rsidRPr="008A38B9" w:rsidRDefault="008A38B9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национальную экономику –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19,3</w:t>
      </w:r>
      <w:r w:rsidRP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</w:t>
      </w:r>
    </w:p>
    <w:p w:rsidR="00C41329" w:rsidRPr="00C41329" w:rsidRDefault="00C41329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культуру –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11,3</w:t>
      </w: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 </w:t>
      </w:r>
    </w:p>
    <w:p w:rsidR="0062601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политику –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626017" w:rsidRDefault="00626017" w:rsidP="006260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коммунальное хозяйство –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A44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6977" w:rsidRPr="00CA6977" w:rsidRDefault="00CA6977" w:rsidP="00626017">
      <w:pPr>
        <w:spacing w:before="100" w:beforeAutospacing="1" w:after="100" w:afterAutospacing="1" w:line="240" w:lineRule="auto"/>
        <w:ind w:left="1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76BC" w:rsidRPr="00D70C99" w:rsidRDefault="0073729B" w:rsidP="00E676BC">
      <w:pPr>
        <w:rPr>
          <w:b/>
        </w:rPr>
      </w:pPr>
      <w:r w:rsidRPr="00D70C99">
        <w:rPr>
          <w:b/>
          <w:noProof/>
          <w:lang w:eastAsia="ru-RU"/>
        </w:rPr>
        <w:drawing>
          <wp:inline distT="0" distB="0" distL="0" distR="0">
            <wp:extent cx="5233670" cy="3248025"/>
            <wp:effectExtent l="19050" t="0" r="2413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C8" w:rsidRPr="000B4B29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 отчетный период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образованиям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межбюджетных трансфертов в объеме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7 286,0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запланированного объема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выравнивание бюджетной обеспеченности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3 001,9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иных межбюджетных трансфертов –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4284,1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2202" w:rsidRDefault="00005AC8" w:rsidP="00AD2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показателями отчета об исполнении консолидированного бюджет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муниципального образования </w:t>
      </w:r>
      <w:proofErr w:type="spellStart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Шабалинский</w:t>
      </w:r>
      <w:proofErr w:type="spellEnd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B0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на 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441CFF" w:rsidRPr="007178C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http://adm-shabalino.ru/mestnyj-byudzhet-i-byudzhetnyj-protsess-v-munitsipalnom-obrazovanii/otchetnost/490-otchetnost-za-2022-god</w:t>
        </w:r>
      </w:hyperlink>
    </w:p>
    <w:p w:rsidR="00441CFF" w:rsidRDefault="00441CFF" w:rsidP="00AD2202">
      <w:pPr>
        <w:spacing w:before="100" w:beforeAutospacing="1" w:after="100" w:afterAutospacing="1" w:line="240" w:lineRule="auto"/>
        <w:jc w:val="both"/>
      </w:pPr>
    </w:p>
    <w:sectPr w:rsidR="00441CFF" w:rsidSect="00D2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CA1"/>
    <w:multiLevelType w:val="hybridMultilevel"/>
    <w:tmpl w:val="645EC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6BC"/>
    <w:rsid w:val="00005AC8"/>
    <w:rsid w:val="000344D9"/>
    <w:rsid w:val="000555F4"/>
    <w:rsid w:val="000B5C2E"/>
    <w:rsid w:val="001024A2"/>
    <w:rsid w:val="00123525"/>
    <w:rsid w:val="00141AC8"/>
    <w:rsid w:val="0019716A"/>
    <w:rsid w:val="001B20F0"/>
    <w:rsid w:val="001B6841"/>
    <w:rsid w:val="001C6803"/>
    <w:rsid w:val="002A297E"/>
    <w:rsid w:val="002B21F7"/>
    <w:rsid w:val="002B5BDF"/>
    <w:rsid w:val="002E6D47"/>
    <w:rsid w:val="002F1C62"/>
    <w:rsid w:val="00302506"/>
    <w:rsid w:val="0033033B"/>
    <w:rsid w:val="003C5E6D"/>
    <w:rsid w:val="003C75AF"/>
    <w:rsid w:val="003D0E72"/>
    <w:rsid w:val="003D2006"/>
    <w:rsid w:val="003F201D"/>
    <w:rsid w:val="003F4B28"/>
    <w:rsid w:val="00441CFF"/>
    <w:rsid w:val="004514B5"/>
    <w:rsid w:val="004843D0"/>
    <w:rsid w:val="00492475"/>
    <w:rsid w:val="004A1BB6"/>
    <w:rsid w:val="004A46A4"/>
    <w:rsid w:val="004E2B8C"/>
    <w:rsid w:val="004F20E1"/>
    <w:rsid w:val="005078DA"/>
    <w:rsid w:val="00516FDD"/>
    <w:rsid w:val="00542198"/>
    <w:rsid w:val="00561314"/>
    <w:rsid w:val="0058322A"/>
    <w:rsid w:val="00617481"/>
    <w:rsid w:val="00626017"/>
    <w:rsid w:val="0066382D"/>
    <w:rsid w:val="00665E0B"/>
    <w:rsid w:val="00687E2B"/>
    <w:rsid w:val="006C235E"/>
    <w:rsid w:val="00711AD2"/>
    <w:rsid w:val="00711CBB"/>
    <w:rsid w:val="0073729B"/>
    <w:rsid w:val="00753C01"/>
    <w:rsid w:val="00770D1E"/>
    <w:rsid w:val="00774EA4"/>
    <w:rsid w:val="00793EE9"/>
    <w:rsid w:val="007B0A53"/>
    <w:rsid w:val="007C2296"/>
    <w:rsid w:val="007E1B98"/>
    <w:rsid w:val="008209B3"/>
    <w:rsid w:val="008571C1"/>
    <w:rsid w:val="00862F32"/>
    <w:rsid w:val="008A38B9"/>
    <w:rsid w:val="008B0325"/>
    <w:rsid w:val="008D1637"/>
    <w:rsid w:val="009153B9"/>
    <w:rsid w:val="00951484"/>
    <w:rsid w:val="00974392"/>
    <w:rsid w:val="00982391"/>
    <w:rsid w:val="009B6A33"/>
    <w:rsid w:val="009C36C7"/>
    <w:rsid w:val="009C6956"/>
    <w:rsid w:val="009D5632"/>
    <w:rsid w:val="009E0F56"/>
    <w:rsid w:val="00A01F38"/>
    <w:rsid w:val="00A44357"/>
    <w:rsid w:val="00A531B5"/>
    <w:rsid w:val="00A60E52"/>
    <w:rsid w:val="00A62B90"/>
    <w:rsid w:val="00A65F1A"/>
    <w:rsid w:val="00A81839"/>
    <w:rsid w:val="00AD2202"/>
    <w:rsid w:val="00AE2009"/>
    <w:rsid w:val="00AE6545"/>
    <w:rsid w:val="00B339C5"/>
    <w:rsid w:val="00B66F7B"/>
    <w:rsid w:val="00BA776F"/>
    <w:rsid w:val="00BC44C6"/>
    <w:rsid w:val="00BE0B6C"/>
    <w:rsid w:val="00BE0E50"/>
    <w:rsid w:val="00BF5A7F"/>
    <w:rsid w:val="00C0679F"/>
    <w:rsid w:val="00C41329"/>
    <w:rsid w:val="00C5081A"/>
    <w:rsid w:val="00C7691E"/>
    <w:rsid w:val="00C942CB"/>
    <w:rsid w:val="00CA6977"/>
    <w:rsid w:val="00CD4FBC"/>
    <w:rsid w:val="00D232FE"/>
    <w:rsid w:val="00D24EDB"/>
    <w:rsid w:val="00D27B34"/>
    <w:rsid w:val="00D4248E"/>
    <w:rsid w:val="00D570CE"/>
    <w:rsid w:val="00D70C99"/>
    <w:rsid w:val="00D75727"/>
    <w:rsid w:val="00DD0891"/>
    <w:rsid w:val="00DF1925"/>
    <w:rsid w:val="00E13111"/>
    <w:rsid w:val="00E229BB"/>
    <w:rsid w:val="00E22DDD"/>
    <w:rsid w:val="00E236C6"/>
    <w:rsid w:val="00E2589E"/>
    <w:rsid w:val="00E676BC"/>
    <w:rsid w:val="00E84601"/>
    <w:rsid w:val="00E86E7E"/>
    <w:rsid w:val="00EE4C19"/>
    <w:rsid w:val="00F41272"/>
    <w:rsid w:val="00F628C0"/>
    <w:rsid w:val="00F74F9F"/>
    <w:rsid w:val="00FA2DF7"/>
    <w:rsid w:val="00FB3526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C8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D22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abalino.ru/mestnyj-byudzhet-i-byudzhetnyj-protsess-v-munitsipalnom-obrazovanii/otchetnost/490-otchetnost-za-2022-go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01.07.2021</c:v>
                </c:pt>
              </c:strCache>
            </c:strRef>
          </c:tx>
          <c:dLbls>
            <c:dLbl>
              <c:idx val="0"/>
              <c:layout>
                <c:manualLayout>
                  <c:x val="4.6296296296296693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693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4473607465716E-3"/>
                  <c:y val="-5.5555868016497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156929.9</c:v>
                </c:pt>
                <c:pt idx="1">
                  <c:v>48569.599999999999</c:v>
                </c:pt>
                <c:pt idx="2">
                  <c:v>108360.3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01.07.2022</c:v>
                </c:pt>
              </c:strCache>
            </c:strRef>
          </c:tx>
          <c:dLbls>
            <c:dLbl>
              <c:idx val="0"/>
              <c:layout>
                <c:manualLayout>
                  <c:x val="3.7037037037037264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518518518518635E-2"/>
                  <c:y val="-7.9365079365079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092592592592591E-2"/>
                  <c:y val="-1.98412698412699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186889.60000000001</c:v>
                </c:pt>
                <c:pt idx="1">
                  <c:v>61181.599999999999</c:v>
                </c:pt>
                <c:pt idx="2">
                  <c:v>125708</c:v>
                </c:pt>
              </c:numCache>
            </c:numRef>
          </c:val>
        </c:ser>
        <c:dLbls>
          <c:showVal val="1"/>
        </c:dLbls>
        <c:shape val="box"/>
        <c:axId val="52495104"/>
        <c:axId val="52496640"/>
        <c:axId val="0"/>
      </c:bar3DChart>
      <c:catAx>
        <c:axId val="52495104"/>
        <c:scaling>
          <c:orientation val="minMax"/>
        </c:scaling>
        <c:axPos val="b"/>
        <c:numFmt formatCode="General" sourceLinked="1"/>
        <c:majorTickMark val="none"/>
        <c:tickLblPos val="nextTo"/>
        <c:crossAx val="52496640"/>
        <c:crosses val="autoZero"/>
        <c:auto val="1"/>
        <c:lblAlgn val="ctr"/>
        <c:lblOffset val="100"/>
      </c:catAx>
      <c:valAx>
        <c:axId val="52496640"/>
        <c:scaling>
          <c:orientation val="minMax"/>
        </c:scaling>
        <c:delete val="1"/>
        <c:axPos val="l"/>
        <c:numFmt formatCode="General" sourceLinked="1"/>
        <c:tickLblPos val="none"/>
        <c:crossAx val="52495104"/>
        <c:crosses val="autoZero"/>
        <c:crossBetween val="between"/>
      </c:valAx>
      <c:spPr>
        <a:noFill/>
        <a:ln w="25349">
          <a:noFill/>
        </a:ln>
      </c:spPr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6509186351706026E-2"/>
                  <c:y val="-9.74953130858642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5361439195100702E-2"/>
                  <c:y val="8.8396137982752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3881780402449811E-2"/>
                  <c:y val="0.1463845144356955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5.0032808398950162E-5"/>
                  <c:y val="-1.06608548931384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3.6134299640596376E-2"/>
                  <c:y val="-1.4719406408509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-1.6154217701953924E-2"/>
                  <c:y val="-5.28149606299217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5.3386829250510637E-2"/>
                  <c:y val="-4.09861267341582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Культура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61855.5</c:v>
                </c:pt>
                <c:pt idx="1">
                  <c:v>35453.4</c:v>
                </c:pt>
                <c:pt idx="2">
                  <c:v>32047</c:v>
                </c:pt>
                <c:pt idx="3">
                  <c:v>18839.2</c:v>
                </c:pt>
                <c:pt idx="4">
                  <c:v>2806.1</c:v>
                </c:pt>
                <c:pt idx="5">
                  <c:v>7132.6</c:v>
                </c:pt>
                <c:pt idx="6">
                  <c:v>8006.6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E619-86D9-4617-8B77-2E60960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6" baseType="variant"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http://adm-shabalino.ru/mestnyj-byudzhet-i-byudzhetnyj-protsess-v-munitsipalnom-obrazovanii/otchetnost/453-otchetnost-za-2021-god/1858-otchetnost-za-2021-god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2020-10-19T07:43:00Z</cp:lastPrinted>
  <dcterms:created xsi:type="dcterms:W3CDTF">2022-07-27T06:07:00Z</dcterms:created>
  <dcterms:modified xsi:type="dcterms:W3CDTF">2022-07-27T11:44:00Z</dcterms:modified>
</cp:coreProperties>
</file>