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DE" w:rsidRDefault="00237EDE" w:rsidP="00237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EDE">
        <w:rPr>
          <w:rFonts w:ascii="Times New Roman" w:hAnsi="Times New Roman" w:cs="Times New Roman"/>
          <w:b/>
          <w:sz w:val="24"/>
          <w:szCs w:val="24"/>
        </w:rPr>
        <w:t xml:space="preserve">ГОСТОВСКАЯ СЕЛЬСКАЯ ДУМА                        </w:t>
      </w:r>
    </w:p>
    <w:p w:rsidR="00237EDE" w:rsidRPr="00237EDE" w:rsidRDefault="00237EDE" w:rsidP="00237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EDE">
        <w:rPr>
          <w:rFonts w:ascii="Times New Roman" w:hAnsi="Times New Roman" w:cs="Times New Roman"/>
          <w:b/>
          <w:sz w:val="24"/>
          <w:szCs w:val="24"/>
        </w:rPr>
        <w:t xml:space="preserve">      ШАБАЛИНСКОГО РАЙОНА</w:t>
      </w:r>
    </w:p>
    <w:p w:rsidR="00237EDE" w:rsidRPr="00237EDE" w:rsidRDefault="00237EDE" w:rsidP="00237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EDE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237EDE" w:rsidRPr="00237EDE" w:rsidRDefault="00237EDE" w:rsidP="00237EDE">
      <w:pPr>
        <w:rPr>
          <w:rFonts w:ascii="Times New Roman" w:hAnsi="Times New Roman" w:cs="Times New Roman"/>
          <w:b/>
          <w:sz w:val="24"/>
          <w:szCs w:val="24"/>
        </w:rPr>
      </w:pPr>
      <w:r w:rsidRPr="00237E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237EDE" w:rsidRPr="00237EDE" w:rsidRDefault="00237EDE" w:rsidP="00237EDE">
      <w:pPr>
        <w:rPr>
          <w:rFonts w:ascii="Times New Roman" w:hAnsi="Times New Roman" w:cs="Times New Roman"/>
          <w:b/>
          <w:sz w:val="24"/>
          <w:szCs w:val="24"/>
        </w:rPr>
      </w:pPr>
      <w:r w:rsidRPr="00237E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37EDE">
        <w:rPr>
          <w:rFonts w:ascii="Times New Roman" w:hAnsi="Times New Roman" w:cs="Times New Roman"/>
          <w:b/>
          <w:sz w:val="24"/>
          <w:szCs w:val="24"/>
        </w:rPr>
        <w:t xml:space="preserve"> Р Е Ш Е Н И Е</w:t>
      </w:r>
    </w:p>
    <w:p w:rsidR="00237EDE" w:rsidRPr="00237EDE" w:rsidRDefault="00237EDE" w:rsidP="00237E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EDE" w:rsidRPr="00237EDE" w:rsidRDefault="00237EDE" w:rsidP="00237EDE">
      <w:pPr>
        <w:rPr>
          <w:rFonts w:ascii="Times New Roman" w:hAnsi="Times New Roman" w:cs="Times New Roman"/>
          <w:b/>
          <w:sz w:val="24"/>
          <w:szCs w:val="24"/>
        </w:rPr>
      </w:pPr>
      <w:r w:rsidRPr="00237EDE">
        <w:rPr>
          <w:rFonts w:ascii="Times New Roman" w:hAnsi="Times New Roman" w:cs="Times New Roman"/>
          <w:b/>
          <w:sz w:val="24"/>
          <w:szCs w:val="24"/>
        </w:rPr>
        <w:t xml:space="preserve">05.05.2017 г.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237EDE">
        <w:rPr>
          <w:rFonts w:ascii="Times New Roman" w:hAnsi="Times New Roman" w:cs="Times New Roman"/>
          <w:b/>
          <w:sz w:val="24"/>
          <w:szCs w:val="24"/>
        </w:rPr>
        <w:t xml:space="preserve">  № 40/190</w:t>
      </w:r>
    </w:p>
    <w:p w:rsidR="00237EDE" w:rsidRPr="00237EDE" w:rsidRDefault="00237EDE" w:rsidP="00237EDE">
      <w:pPr>
        <w:rPr>
          <w:rFonts w:ascii="Times New Roman" w:hAnsi="Times New Roman" w:cs="Times New Roman"/>
          <w:b/>
          <w:sz w:val="24"/>
          <w:szCs w:val="24"/>
        </w:rPr>
      </w:pPr>
    </w:p>
    <w:p w:rsidR="00237EDE" w:rsidRPr="00237EDE" w:rsidRDefault="00237EDE" w:rsidP="00237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EDE">
        <w:rPr>
          <w:rFonts w:ascii="Times New Roman" w:hAnsi="Times New Roman" w:cs="Times New Roman"/>
          <w:b/>
          <w:sz w:val="24"/>
          <w:szCs w:val="24"/>
        </w:rPr>
        <w:t>п.Гостовский</w:t>
      </w:r>
    </w:p>
    <w:p w:rsidR="00237EDE" w:rsidRPr="00237EDE" w:rsidRDefault="00237EDE" w:rsidP="00237E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EDE" w:rsidRPr="00237EDE" w:rsidRDefault="00237EDE" w:rsidP="00237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EDE">
        <w:rPr>
          <w:rFonts w:ascii="Times New Roman" w:hAnsi="Times New Roman" w:cs="Times New Roman"/>
          <w:b/>
          <w:sz w:val="24"/>
          <w:szCs w:val="24"/>
        </w:rPr>
        <w:t>Об исполнении бюджета</w:t>
      </w:r>
    </w:p>
    <w:p w:rsidR="00237EDE" w:rsidRPr="00237EDE" w:rsidRDefault="00237EDE" w:rsidP="00237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ED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Гостовское сельское поселение Шабалинского района Кировской 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EDE">
        <w:rPr>
          <w:rFonts w:ascii="Times New Roman" w:hAnsi="Times New Roman" w:cs="Times New Roman"/>
          <w:b/>
          <w:sz w:val="24"/>
          <w:szCs w:val="24"/>
        </w:rPr>
        <w:t>за 1 квартал 2017 год</w:t>
      </w:r>
    </w:p>
    <w:p w:rsidR="00237EDE" w:rsidRPr="00237EDE" w:rsidRDefault="00237EDE" w:rsidP="00237EDE">
      <w:pPr>
        <w:rPr>
          <w:rFonts w:ascii="Times New Roman" w:hAnsi="Times New Roman" w:cs="Times New Roman"/>
          <w:b/>
          <w:sz w:val="24"/>
          <w:szCs w:val="24"/>
        </w:rPr>
      </w:pPr>
    </w:p>
    <w:p w:rsidR="00237EDE" w:rsidRPr="00237EDE" w:rsidRDefault="00237EDE" w:rsidP="00237ED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D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237EDE">
        <w:rPr>
          <w:rFonts w:ascii="Times New Roman" w:hAnsi="Times New Roman" w:cs="Times New Roman"/>
          <w:sz w:val="24"/>
          <w:szCs w:val="24"/>
        </w:rPr>
        <w:t>Заслушав и обсудив информацию об исполнении бюджета муниципального образования  Гостовское сельское поселение Шабалинского района Кировской области за 1 квартал 2017  год, Гостовская сельская Дума РЕШИЛА:</w:t>
      </w:r>
    </w:p>
    <w:p w:rsidR="00237EDE" w:rsidRPr="00237EDE" w:rsidRDefault="00237EDE" w:rsidP="00237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EDE" w:rsidRPr="00237EDE" w:rsidRDefault="00237EDE" w:rsidP="00237EDE">
      <w:pPr>
        <w:jc w:val="both"/>
        <w:rPr>
          <w:rFonts w:ascii="Times New Roman" w:hAnsi="Times New Roman" w:cs="Times New Roman"/>
          <w:sz w:val="24"/>
          <w:szCs w:val="24"/>
        </w:rPr>
      </w:pPr>
      <w:r w:rsidRPr="00237EDE">
        <w:rPr>
          <w:rFonts w:ascii="Times New Roman" w:hAnsi="Times New Roman" w:cs="Times New Roman"/>
          <w:sz w:val="24"/>
          <w:szCs w:val="24"/>
        </w:rPr>
        <w:t xml:space="preserve">                1.  Администрации Гостовского сельского поселения Шабалинского района Кировской области принять меры по выполнению доходной и расходной части бюджета на 2017 год.</w:t>
      </w:r>
    </w:p>
    <w:p w:rsidR="00237EDE" w:rsidRPr="00237EDE" w:rsidRDefault="00237EDE" w:rsidP="00237E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EDE">
        <w:rPr>
          <w:rFonts w:ascii="Times New Roman" w:hAnsi="Times New Roman" w:cs="Times New Roman"/>
          <w:sz w:val="24"/>
          <w:szCs w:val="24"/>
        </w:rPr>
        <w:t>2.Информацию по исполнению бюджета Гостовское сельского поселения Шабалинского района Кировской области за 1 квартал  2017 года опубликовать в Сборнике нормативных правовых актов органов местного самоуправления Гостовского  сельского поселения Шабалинского района Кировской области.</w:t>
      </w:r>
    </w:p>
    <w:p w:rsidR="00237EDE" w:rsidRPr="00237EDE" w:rsidRDefault="00237EDE" w:rsidP="00237ED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7EDE">
        <w:rPr>
          <w:rFonts w:ascii="Times New Roman" w:hAnsi="Times New Roman" w:cs="Times New Roman"/>
          <w:sz w:val="24"/>
          <w:szCs w:val="24"/>
        </w:rPr>
        <w:tab/>
        <w:t>3.Контроль за выполнением данного решения возложить на главу администрации Гостовского сельского поселения Сивкову Л.А.</w:t>
      </w:r>
    </w:p>
    <w:p w:rsidR="00237EDE" w:rsidRPr="00237EDE" w:rsidRDefault="00237EDE" w:rsidP="00237EDE">
      <w:pPr>
        <w:rPr>
          <w:rFonts w:ascii="Times New Roman" w:hAnsi="Times New Roman" w:cs="Times New Roman"/>
          <w:sz w:val="24"/>
          <w:szCs w:val="24"/>
        </w:rPr>
      </w:pPr>
    </w:p>
    <w:p w:rsidR="00237EDE" w:rsidRPr="00237EDE" w:rsidRDefault="00237EDE" w:rsidP="00237EDE">
      <w:pPr>
        <w:rPr>
          <w:rFonts w:ascii="Times New Roman" w:hAnsi="Times New Roman" w:cs="Times New Roman"/>
          <w:sz w:val="24"/>
          <w:szCs w:val="24"/>
        </w:rPr>
      </w:pPr>
    </w:p>
    <w:p w:rsidR="00237EDE" w:rsidRPr="00237EDE" w:rsidRDefault="00237EDE" w:rsidP="00237EDE">
      <w:pPr>
        <w:rPr>
          <w:rFonts w:ascii="Times New Roman" w:hAnsi="Times New Roman" w:cs="Times New Roman"/>
          <w:sz w:val="24"/>
          <w:szCs w:val="24"/>
        </w:rPr>
      </w:pPr>
      <w:r w:rsidRPr="00237EDE">
        <w:rPr>
          <w:rFonts w:ascii="Times New Roman" w:hAnsi="Times New Roman" w:cs="Times New Roman"/>
          <w:sz w:val="24"/>
          <w:szCs w:val="24"/>
        </w:rPr>
        <w:t>Глава Гостовского</w:t>
      </w:r>
    </w:p>
    <w:p w:rsidR="00237EDE" w:rsidRPr="00237EDE" w:rsidRDefault="00237EDE" w:rsidP="00237EDE">
      <w:pPr>
        <w:rPr>
          <w:rFonts w:ascii="Times New Roman" w:hAnsi="Times New Roman" w:cs="Times New Roman"/>
          <w:sz w:val="24"/>
          <w:szCs w:val="24"/>
        </w:rPr>
      </w:pPr>
      <w:r w:rsidRPr="00237ED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Л.А.Сивкова                                                         </w:t>
      </w:r>
    </w:p>
    <w:p w:rsidR="00237EDE" w:rsidRPr="00237EDE" w:rsidRDefault="00237EDE" w:rsidP="00237EDE">
      <w:pPr>
        <w:rPr>
          <w:rFonts w:ascii="Times New Roman" w:hAnsi="Times New Roman" w:cs="Times New Roman"/>
          <w:sz w:val="24"/>
          <w:szCs w:val="24"/>
        </w:rPr>
      </w:pPr>
      <w:r w:rsidRPr="00237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237EDE" w:rsidRPr="00237EDE" w:rsidRDefault="00237EDE" w:rsidP="00237EDE">
      <w:pPr>
        <w:rPr>
          <w:rFonts w:ascii="Times New Roman" w:hAnsi="Times New Roman" w:cs="Times New Roman"/>
          <w:sz w:val="24"/>
          <w:szCs w:val="24"/>
        </w:rPr>
      </w:pPr>
    </w:p>
    <w:p w:rsidR="00237EDE" w:rsidRDefault="00237EDE" w:rsidP="00237ED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7E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237E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7EDE">
        <w:rPr>
          <w:rFonts w:ascii="Times New Roman" w:hAnsi="Times New Roman" w:cs="Times New Roman"/>
          <w:bCs/>
          <w:sz w:val="28"/>
          <w:szCs w:val="28"/>
        </w:rPr>
        <w:t>Гла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ве  </w:t>
      </w:r>
      <w:r w:rsidRPr="00237EDE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</w:p>
    <w:p w:rsidR="00237EDE" w:rsidRPr="00237EDE" w:rsidRDefault="00237EDE" w:rsidP="00237ED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Pr="00237EDE">
        <w:rPr>
          <w:rFonts w:ascii="Times New Roman" w:hAnsi="Times New Roman" w:cs="Times New Roman"/>
          <w:bCs/>
          <w:sz w:val="28"/>
          <w:szCs w:val="28"/>
        </w:rPr>
        <w:t xml:space="preserve">Шабалинского района </w:t>
      </w:r>
    </w:p>
    <w:p w:rsidR="00237EDE" w:rsidRPr="00237EDE" w:rsidRDefault="00237EDE" w:rsidP="00237ED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7EDE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237EDE">
        <w:rPr>
          <w:rFonts w:ascii="Times New Roman" w:hAnsi="Times New Roman" w:cs="Times New Roman"/>
          <w:bCs/>
          <w:sz w:val="28"/>
          <w:szCs w:val="28"/>
        </w:rPr>
        <w:t>Кировской области</w:t>
      </w:r>
    </w:p>
    <w:p w:rsidR="00237EDE" w:rsidRPr="00237EDE" w:rsidRDefault="00237EDE" w:rsidP="00237ED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7ED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Сивковой Л.А</w:t>
      </w:r>
    </w:p>
    <w:p w:rsidR="00237EDE" w:rsidRPr="00237EDE" w:rsidRDefault="00237EDE" w:rsidP="00237EDE">
      <w:pPr>
        <w:rPr>
          <w:rFonts w:ascii="Times New Roman" w:hAnsi="Times New Roman" w:cs="Times New Roman"/>
          <w:b/>
          <w:sz w:val="28"/>
          <w:szCs w:val="28"/>
        </w:rPr>
      </w:pPr>
      <w:r w:rsidRPr="00237ED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237ED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237ED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237EDE" w:rsidRPr="00237EDE" w:rsidRDefault="00237EDE" w:rsidP="00237EDE">
      <w:pPr>
        <w:rPr>
          <w:rFonts w:ascii="Times New Roman" w:hAnsi="Times New Roman" w:cs="Times New Roman"/>
          <w:b/>
          <w:sz w:val="28"/>
          <w:szCs w:val="28"/>
        </w:rPr>
      </w:pPr>
      <w:r w:rsidRPr="00237E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237EDE" w:rsidRPr="00237EDE" w:rsidRDefault="00237EDE" w:rsidP="00237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ED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37EDE" w:rsidRPr="00237EDE" w:rsidRDefault="00237EDE" w:rsidP="00237E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EDE">
        <w:rPr>
          <w:rFonts w:ascii="Times New Roman" w:hAnsi="Times New Roman" w:cs="Times New Roman"/>
          <w:b/>
          <w:bCs/>
          <w:sz w:val="28"/>
          <w:szCs w:val="28"/>
        </w:rPr>
        <w:t>об  исполнении    бюджета  муниципального  образования</w:t>
      </w:r>
    </w:p>
    <w:p w:rsidR="00237EDE" w:rsidRPr="00237EDE" w:rsidRDefault="00237EDE" w:rsidP="00237E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EDE">
        <w:rPr>
          <w:rFonts w:ascii="Times New Roman" w:hAnsi="Times New Roman" w:cs="Times New Roman"/>
          <w:b/>
          <w:bCs/>
          <w:sz w:val="28"/>
          <w:szCs w:val="28"/>
        </w:rPr>
        <w:t>Гостовское сельское поселение Шабалинского района Кировской области за 1 квартал 2017 года</w:t>
      </w:r>
    </w:p>
    <w:p w:rsidR="00237EDE" w:rsidRPr="00237EDE" w:rsidRDefault="00237EDE" w:rsidP="00237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EDE" w:rsidRPr="00237EDE" w:rsidRDefault="00237EDE" w:rsidP="00237EDE">
      <w:pPr>
        <w:jc w:val="both"/>
        <w:rPr>
          <w:rFonts w:ascii="Times New Roman" w:hAnsi="Times New Roman" w:cs="Times New Roman"/>
          <w:sz w:val="28"/>
          <w:szCs w:val="28"/>
        </w:rPr>
      </w:pPr>
      <w:r w:rsidRPr="00237EDE">
        <w:rPr>
          <w:rFonts w:ascii="Times New Roman" w:hAnsi="Times New Roman" w:cs="Times New Roman"/>
          <w:sz w:val="28"/>
          <w:szCs w:val="28"/>
        </w:rPr>
        <w:t xml:space="preserve">  </w:t>
      </w:r>
      <w:r w:rsidRPr="00237EDE">
        <w:rPr>
          <w:rFonts w:ascii="Times New Roman" w:hAnsi="Times New Roman" w:cs="Times New Roman"/>
          <w:sz w:val="28"/>
          <w:szCs w:val="28"/>
        </w:rPr>
        <w:tab/>
        <w:t xml:space="preserve"> Исполнение бюджета осуществлялось в соответствии со сводной бюджетной росписью бюджета муниципального образования Гостовское сельское поселение Шабалинского района Кировской области и кассовым планом за 1 квартал 2017 года.</w:t>
      </w:r>
    </w:p>
    <w:p w:rsidR="00237EDE" w:rsidRPr="00237EDE" w:rsidRDefault="00237EDE" w:rsidP="00237EDE">
      <w:pPr>
        <w:jc w:val="both"/>
        <w:rPr>
          <w:rFonts w:ascii="Times New Roman" w:hAnsi="Times New Roman" w:cs="Times New Roman"/>
          <w:sz w:val="28"/>
          <w:szCs w:val="28"/>
        </w:rPr>
      </w:pPr>
      <w:r w:rsidRPr="00237EDE">
        <w:rPr>
          <w:rFonts w:ascii="Times New Roman" w:hAnsi="Times New Roman" w:cs="Times New Roman"/>
          <w:sz w:val="28"/>
          <w:szCs w:val="28"/>
        </w:rPr>
        <w:t xml:space="preserve">   Доходная часть бюджета исполнена в сумме  552,888 тыс.рублей  или на 18,04 % к  утвержденным годовым бюджетным назначениям. Из них поступления налоговых и неналоговых доходов составили 303,478 тыс.рублей или 19,813 %, безвозмездные поступления – 249,410 тыс.рублей или 16,268 %</w:t>
      </w:r>
    </w:p>
    <w:p w:rsidR="00237EDE" w:rsidRPr="00237EDE" w:rsidRDefault="00237EDE" w:rsidP="00237EDE">
      <w:pPr>
        <w:pStyle w:val="a3"/>
        <w:spacing w:after="0"/>
        <w:jc w:val="both"/>
        <w:rPr>
          <w:sz w:val="28"/>
          <w:szCs w:val="28"/>
        </w:rPr>
      </w:pPr>
      <w:r w:rsidRPr="00237EDE">
        <w:rPr>
          <w:sz w:val="28"/>
          <w:szCs w:val="28"/>
        </w:rPr>
        <w:t xml:space="preserve">       Структура доходов  бюджета Гостовского сельского поселения  сложилась следующим образом:</w:t>
      </w:r>
    </w:p>
    <w:p w:rsidR="00237EDE" w:rsidRPr="00237EDE" w:rsidRDefault="00237EDE" w:rsidP="00237EDE">
      <w:pPr>
        <w:pStyle w:val="a3"/>
        <w:spacing w:after="0"/>
        <w:jc w:val="both"/>
        <w:rPr>
          <w:sz w:val="28"/>
          <w:szCs w:val="28"/>
        </w:rPr>
      </w:pPr>
      <w:r w:rsidRPr="00237EDE">
        <w:rPr>
          <w:sz w:val="28"/>
          <w:szCs w:val="28"/>
        </w:rPr>
        <w:t>- собственные  доходы –  303,478 тыс.руб.;</w:t>
      </w:r>
    </w:p>
    <w:p w:rsidR="00237EDE" w:rsidRDefault="00237EDE" w:rsidP="00237EDE">
      <w:pPr>
        <w:pStyle w:val="a3"/>
        <w:spacing w:after="0"/>
        <w:jc w:val="both"/>
        <w:rPr>
          <w:sz w:val="28"/>
          <w:szCs w:val="28"/>
        </w:rPr>
      </w:pPr>
      <w:r w:rsidRPr="002F0EC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дотация на выравнивание бюджетной обеспеченности -156,210 </w:t>
      </w:r>
      <w:r w:rsidRPr="002F0EC6">
        <w:rPr>
          <w:sz w:val="28"/>
          <w:szCs w:val="28"/>
        </w:rPr>
        <w:t>тыс.руб.;</w:t>
      </w:r>
    </w:p>
    <w:p w:rsidR="00237EDE" w:rsidRDefault="00237EDE" w:rsidP="00237ED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дотации на сбалансированность бюджетов – 66,6 тыс.руб.;</w:t>
      </w:r>
    </w:p>
    <w:p w:rsidR="00237EDE" w:rsidRDefault="00237EDE" w:rsidP="00237ED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прочие субсидии – 12,0 тыс.руб.;</w:t>
      </w:r>
    </w:p>
    <w:p w:rsidR="00237EDE" w:rsidRPr="002F0EC6" w:rsidRDefault="00237EDE" w:rsidP="00237EDE">
      <w:pPr>
        <w:pStyle w:val="a3"/>
        <w:spacing w:after="0"/>
        <w:jc w:val="both"/>
        <w:rPr>
          <w:sz w:val="28"/>
          <w:szCs w:val="28"/>
        </w:rPr>
      </w:pPr>
      <w:r w:rsidRPr="002F0EC6">
        <w:rPr>
          <w:sz w:val="28"/>
          <w:szCs w:val="28"/>
        </w:rPr>
        <w:t>- субвенции</w:t>
      </w:r>
      <w:r>
        <w:rPr>
          <w:sz w:val="28"/>
          <w:szCs w:val="28"/>
        </w:rPr>
        <w:t xml:space="preserve"> на осуществление первичного воинского учета </w:t>
      </w:r>
      <w:r w:rsidRPr="002F0EC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14,6</w:t>
      </w:r>
      <w:r w:rsidRPr="002F0EC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F0EC6">
        <w:rPr>
          <w:sz w:val="28"/>
          <w:szCs w:val="28"/>
        </w:rPr>
        <w:t>руб</w:t>
      </w:r>
      <w:r>
        <w:rPr>
          <w:sz w:val="28"/>
          <w:szCs w:val="28"/>
        </w:rPr>
        <w:t>.;</w:t>
      </w:r>
    </w:p>
    <w:p w:rsidR="00237EDE" w:rsidRDefault="00237EDE" w:rsidP="00237ED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7EDE" w:rsidRPr="002F0EC6" w:rsidRDefault="00237EDE" w:rsidP="00237EDE">
      <w:pPr>
        <w:pStyle w:val="a3"/>
        <w:spacing w:after="0"/>
        <w:jc w:val="both"/>
        <w:rPr>
          <w:sz w:val="28"/>
          <w:szCs w:val="28"/>
        </w:rPr>
      </w:pPr>
      <w:r w:rsidRPr="002F0EC6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 xml:space="preserve"> </w:t>
      </w:r>
      <w:r w:rsidRPr="002F0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собственных  </w:t>
      </w:r>
      <w:r w:rsidRPr="002F0EC6">
        <w:rPr>
          <w:sz w:val="28"/>
          <w:szCs w:val="28"/>
        </w:rPr>
        <w:t>доходов  включает:</w:t>
      </w:r>
    </w:p>
    <w:p w:rsidR="00237EDE" w:rsidRPr="002F0EC6" w:rsidRDefault="00237EDE" w:rsidP="00237EDE">
      <w:pPr>
        <w:pStyle w:val="a3"/>
        <w:spacing w:after="0"/>
        <w:jc w:val="both"/>
        <w:rPr>
          <w:sz w:val="28"/>
          <w:szCs w:val="28"/>
        </w:rPr>
      </w:pPr>
      <w:r w:rsidRPr="002F0EC6">
        <w:rPr>
          <w:sz w:val="28"/>
          <w:szCs w:val="28"/>
        </w:rPr>
        <w:t>- на</w:t>
      </w:r>
      <w:r>
        <w:rPr>
          <w:sz w:val="28"/>
          <w:szCs w:val="28"/>
        </w:rPr>
        <w:t xml:space="preserve">лог на доходы физических лиц – 116,482 тыс.руб. (14,785 </w:t>
      </w:r>
      <w:r w:rsidRPr="002F0EC6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2F0EC6">
        <w:rPr>
          <w:sz w:val="28"/>
          <w:szCs w:val="28"/>
        </w:rPr>
        <w:t>;</w:t>
      </w:r>
    </w:p>
    <w:p w:rsidR="00237EDE" w:rsidRDefault="00237EDE" w:rsidP="00237ED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акцизы по подакцизным товарам – 125,617 тыс.руб. (24,914 %);</w:t>
      </w:r>
    </w:p>
    <w:p w:rsidR="00237EDE" w:rsidRDefault="00237EDE" w:rsidP="00237EDE">
      <w:pPr>
        <w:pStyle w:val="a3"/>
        <w:spacing w:after="0"/>
        <w:jc w:val="both"/>
        <w:rPr>
          <w:sz w:val="28"/>
          <w:szCs w:val="28"/>
        </w:rPr>
      </w:pPr>
      <w:r w:rsidRPr="002F0EC6">
        <w:rPr>
          <w:sz w:val="28"/>
          <w:szCs w:val="28"/>
        </w:rPr>
        <w:t xml:space="preserve">- </w:t>
      </w:r>
      <w:r>
        <w:rPr>
          <w:sz w:val="28"/>
          <w:szCs w:val="28"/>
        </w:rPr>
        <w:t>налог на имущество физических лиц  – 0,281 тыс.руб. (2,782 %)</w:t>
      </w:r>
      <w:r w:rsidRPr="002F0EC6">
        <w:rPr>
          <w:sz w:val="28"/>
          <w:szCs w:val="28"/>
        </w:rPr>
        <w:t>;</w:t>
      </w:r>
    </w:p>
    <w:p w:rsidR="00237EDE" w:rsidRDefault="00237EDE" w:rsidP="00237ED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 с организаций – 19,337 тыс.руб. ( 37,187 %);</w:t>
      </w:r>
    </w:p>
    <w:p w:rsidR="00237EDE" w:rsidRDefault="00237EDE" w:rsidP="00237ED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земельный налог с физических лиц – 1,261 тыс.руб. ( 2,034 %);</w:t>
      </w:r>
    </w:p>
    <w:p w:rsidR="00237EDE" w:rsidRDefault="00237EDE" w:rsidP="00237ED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пошлина – 2,12 тыс.руб. (42,4 %);</w:t>
      </w:r>
    </w:p>
    <w:p w:rsidR="00237EDE" w:rsidRPr="002F0EC6" w:rsidRDefault="00237EDE" w:rsidP="00237ED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поступления от использования имущества – 16,0 тыс.руб. (34,043 </w:t>
      </w:r>
      <w:r w:rsidRPr="002F0EC6">
        <w:rPr>
          <w:sz w:val="28"/>
          <w:szCs w:val="28"/>
        </w:rPr>
        <w:t>%</w:t>
      </w:r>
      <w:r>
        <w:rPr>
          <w:sz w:val="28"/>
          <w:szCs w:val="28"/>
        </w:rPr>
        <w:t>);</w:t>
      </w:r>
    </w:p>
    <w:p w:rsidR="00237EDE" w:rsidRDefault="00237EDE" w:rsidP="00237ED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доходы от оказания платных услуг – 22,32 тыс.руб. (35,094 %);</w:t>
      </w:r>
    </w:p>
    <w:p w:rsidR="00237EDE" w:rsidRDefault="00237EDE" w:rsidP="00237ED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неналоговые доходы – 0,06 тыс.руб.    </w:t>
      </w:r>
    </w:p>
    <w:p w:rsidR="00237EDE" w:rsidRPr="002F0EC6" w:rsidRDefault="00237EDE" w:rsidP="00237ED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0EC6">
        <w:rPr>
          <w:sz w:val="28"/>
          <w:szCs w:val="28"/>
        </w:rPr>
        <w:t xml:space="preserve">План по </w:t>
      </w:r>
      <w:r>
        <w:rPr>
          <w:sz w:val="28"/>
          <w:szCs w:val="28"/>
        </w:rPr>
        <w:t xml:space="preserve"> </w:t>
      </w:r>
      <w:r w:rsidRPr="002F0EC6">
        <w:rPr>
          <w:sz w:val="28"/>
          <w:szCs w:val="28"/>
        </w:rPr>
        <w:t xml:space="preserve">собственным доходам исполнен </w:t>
      </w:r>
      <w:r>
        <w:rPr>
          <w:sz w:val="28"/>
          <w:szCs w:val="28"/>
        </w:rPr>
        <w:t xml:space="preserve">в сумме 303,478 тыс. рублей или на 19,813 % к утвержденным годовым бюджетным назначениям. </w:t>
      </w:r>
      <w:r w:rsidRPr="002F0EC6">
        <w:rPr>
          <w:sz w:val="28"/>
          <w:szCs w:val="28"/>
        </w:rPr>
        <w:t xml:space="preserve"> </w:t>
      </w:r>
    </w:p>
    <w:p w:rsidR="00237EDE" w:rsidRDefault="00237EDE" w:rsidP="00237EDE">
      <w:pPr>
        <w:jc w:val="both"/>
        <w:rPr>
          <w:sz w:val="28"/>
          <w:szCs w:val="28"/>
        </w:rPr>
      </w:pPr>
      <w:r w:rsidRPr="002F0EC6">
        <w:rPr>
          <w:sz w:val="28"/>
          <w:szCs w:val="28"/>
        </w:rPr>
        <w:t xml:space="preserve">По сравнению с  соответствующим  периодом прошлого года  </w:t>
      </w:r>
      <w:r>
        <w:rPr>
          <w:sz w:val="28"/>
          <w:szCs w:val="28"/>
        </w:rPr>
        <w:t xml:space="preserve">отмечается увеличение </w:t>
      </w:r>
      <w:r w:rsidRPr="002F0EC6">
        <w:rPr>
          <w:sz w:val="28"/>
          <w:szCs w:val="28"/>
        </w:rPr>
        <w:t xml:space="preserve"> поступлений  по </w:t>
      </w:r>
      <w:r>
        <w:rPr>
          <w:sz w:val="28"/>
          <w:szCs w:val="28"/>
        </w:rPr>
        <w:t>собственным</w:t>
      </w:r>
      <w:r w:rsidRPr="002F0EC6">
        <w:rPr>
          <w:sz w:val="28"/>
          <w:szCs w:val="28"/>
        </w:rPr>
        <w:t xml:space="preserve"> доходам  </w:t>
      </w:r>
      <w:r>
        <w:rPr>
          <w:sz w:val="28"/>
          <w:szCs w:val="28"/>
        </w:rPr>
        <w:t xml:space="preserve">на 15,092 тыс.руб. </w:t>
      </w:r>
    </w:p>
    <w:p w:rsidR="00237EDE" w:rsidRDefault="00237EDE" w:rsidP="00237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Недоимка по платежам в бюджет муниципального образования Гостовское сельское поселение на 01 апреля 2017 года составила 208,1 тыс.рублей, из них по:</w:t>
      </w:r>
    </w:p>
    <w:p w:rsidR="00237EDE" w:rsidRDefault="00237EDE" w:rsidP="00237EDE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земельному налогу –  45,7 тыс. рублей;</w:t>
      </w:r>
    </w:p>
    <w:p w:rsidR="00237EDE" w:rsidRDefault="00237EDE" w:rsidP="00237EDE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налогу на имущество физических лиц –  162,4 тыс. рублей;</w:t>
      </w:r>
    </w:p>
    <w:p w:rsidR="00237EDE" w:rsidRDefault="00237EDE" w:rsidP="00237EDE">
      <w:pPr>
        <w:pStyle w:val="a3"/>
        <w:jc w:val="both"/>
        <w:rPr>
          <w:sz w:val="28"/>
          <w:szCs w:val="28"/>
        </w:rPr>
      </w:pPr>
    </w:p>
    <w:p w:rsidR="00237EDE" w:rsidRDefault="00237EDE" w:rsidP="00237EDE">
      <w:pPr>
        <w:pStyle w:val="a3"/>
        <w:jc w:val="both"/>
        <w:rPr>
          <w:sz w:val="28"/>
          <w:szCs w:val="28"/>
        </w:rPr>
      </w:pPr>
      <w:r w:rsidRPr="002F0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687EAE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бюджета муниципального образования Гостовское сельское поселение Шабалинского района Кировской области за 1 квартал 2017 года профинансированы в сумме 548,248 тыс.рублей или  на 15,227 % к годовому плану.</w:t>
      </w:r>
    </w:p>
    <w:p w:rsidR="00237EDE" w:rsidRDefault="00237EDE" w:rsidP="00237E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Структура расходов бюджета муниципального образования сложилась следующим образом:</w:t>
      </w:r>
    </w:p>
    <w:p w:rsidR="00237EDE" w:rsidRDefault="00237EDE" w:rsidP="00237E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Общегосударственные расходы ( 01 раздел ) – 311,624 тыс.руб. ( 22,008 %);</w:t>
      </w:r>
    </w:p>
    <w:p w:rsidR="00237EDE" w:rsidRDefault="00237EDE" w:rsidP="00237E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национальная оборона ( 02 раздел ) – 8,998 тыс.руб. (15,408 % );</w:t>
      </w:r>
    </w:p>
    <w:p w:rsidR="00237EDE" w:rsidRDefault="00237EDE" w:rsidP="00237E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национальная экономика (04 раздел) – 182,033 тыс.рублей ( 13,856%);</w:t>
      </w:r>
    </w:p>
    <w:p w:rsidR="00237EDE" w:rsidRDefault="00237EDE" w:rsidP="00237E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жилищно-коммунальное хозяйство (05 раздел ) – 45,593 тыс.руб. (42,81 %).</w:t>
      </w:r>
    </w:p>
    <w:p w:rsidR="00237EDE" w:rsidRDefault="00237EDE" w:rsidP="00237ED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расходной части характеризуется своевременным и в полном объеме обеспечением выплаты заработной платы и отсутствием просроченной кредиторской задолженности.</w:t>
      </w:r>
    </w:p>
    <w:p w:rsidR="00237EDE" w:rsidRDefault="00237EDE" w:rsidP="00237E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состоянию на 01.04.2017 г. дебиторская задолженность составляет 85,0 тыс.рублей, кредиторская задолженность – 98,62 тыс.рублей, просроченная кредиторская задолженность отсутствует.</w:t>
      </w:r>
    </w:p>
    <w:p w:rsidR="00237EDE" w:rsidRDefault="00237EDE" w:rsidP="00237ED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муниципальным программам расходование средств составляет 548,248 % от выделенных ассигнований.</w:t>
      </w:r>
    </w:p>
    <w:p w:rsidR="00237EDE" w:rsidRDefault="00237EDE" w:rsidP="00237ED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 средств резервного фонда администрации поселения за 1 квартал 2017 года не было.</w:t>
      </w:r>
    </w:p>
    <w:p w:rsidR="00237EDE" w:rsidRDefault="00237EDE" w:rsidP="00237E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Задолженности по муниципальному долгу по состоянию на 01.04.2017 года нет.</w:t>
      </w:r>
    </w:p>
    <w:p w:rsidR="00237EDE" w:rsidRDefault="00237EDE" w:rsidP="00237E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 исполнен с объемом профицита в сумме 4,64 тыс.рублей.</w:t>
      </w:r>
      <w:r>
        <w:rPr>
          <w:sz w:val="28"/>
          <w:szCs w:val="28"/>
        </w:rPr>
        <w:tab/>
      </w:r>
    </w:p>
    <w:p w:rsidR="00237EDE" w:rsidRDefault="00237EDE" w:rsidP="00237EDE">
      <w:pPr>
        <w:pStyle w:val="a3"/>
        <w:jc w:val="both"/>
        <w:rPr>
          <w:sz w:val="28"/>
          <w:szCs w:val="28"/>
        </w:rPr>
      </w:pPr>
    </w:p>
    <w:p w:rsidR="00237EDE" w:rsidRDefault="00237EDE" w:rsidP="00237EDE">
      <w:pPr>
        <w:jc w:val="both"/>
        <w:rPr>
          <w:bCs/>
          <w:sz w:val="28"/>
          <w:szCs w:val="28"/>
        </w:rPr>
      </w:pPr>
    </w:p>
    <w:p w:rsidR="00237EDE" w:rsidRDefault="00237EDE" w:rsidP="00237EDE">
      <w:pPr>
        <w:tabs>
          <w:tab w:val="left" w:pos="664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специалист, </w:t>
      </w:r>
    </w:p>
    <w:p w:rsidR="00237EDE" w:rsidRPr="00237EDE" w:rsidRDefault="00237EDE" w:rsidP="00237EDE">
      <w:pPr>
        <w:rPr>
          <w:rFonts w:ascii="Times New Roman" w:hAnsi="Times New Roman" w:cs="Times New Roman"/>
          <w:sz w:val="24"/>
          <w:szCs w:val="24"/>
        </w:rPr>
      </w:pPr>
      <w:r>
        <w:rPr>
          <w:bCs/>
          <w:sz w:val="28"/>
          <w:szCs w:val="28"/>
        </w:rPr>
        <w:t xml:space="preserve">главный бухгалтер </w:t>
      </w:r>
      <w:r w:rsidRPr="002F0EC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                       </w:t>
      </w:r>
      <w:r w:rsidRPr="002F0EC6">
        <w:rPr>
          <w:bCs/>
          <w:sz w:val="28"/>
          <w:szCs w:val="28"/>
        </w:rPr>
        <w:t>А.В.</w:t>
      </w:r>
      <w:r>
        <w:rPr>
          <w:bCs/>
          <w:sz w:val="28"/>
          <w:szCs w:val="28"/>
        </w:rPr>
        <w:t>Вахтыкова</w:t>
      </w:r>
    </w:p>
    <w:p w:rsidR="00237EDE" w:rsidRPr="00237EDE" w:rsidRDefault="00237EDE" w:rsidP="00237EDE">
      <w:pPr>
        <w:rPr>
          <w:rFonts w:ascii="Times New Roman" w:hAnsi="Times New Roman" w:cs="Times New Roman"/>
          <w:sz w:val="24"/>
          <w:szCs w:val="24"/>
        </w:rPr>
      </w:pPr>
    </w:p>
    <w:p w:rsidR="00237EDE" w:rsidRPr="00237EDE" w:rsidRDefault="00237EDE" w:rsidP="00237EDE">
      <w:pPr>
        <w:rPr>
          <w:rFonts w:ascii="Times New Roman" w:hAnsi="Times New Roman" w:cs="Times New Roman"/>
          <w:sz w:val="24"/>
          <w:szCs w:val="24"/>
        </w:rPr>
      </w:pPr>
    </w:p>
    <w:p w:rsidR="00237EDE" w:rsidRPr="00237EDE" w:rsidRDefault="00237EDE" w:rsidP="00237EDE">
      <w:pPr>
        <w:rPr>
          <w:rFonts w:ascii="Times New Roman" w:hAnsi="Times New Roman" w:cs="Times New Roman"/>
          <w:sz w:val="24"/>
          <w:szCs w:val="24"/>
        </w:rPr>
      </w:pPr>
    </w:p>
    <w:p w:rsidR="00237EDE" w:rsidRPr="00237EDE" w:rsidRDefault="00237EDE" w:rsidP="00237EDE">
      <w:pPr>
        <w:rPr>
          <w:rFonts w:ascii="Times New Roman" w:hAnsi="Times New Roman" w:cs="Times New Roman"/>
          <w:sz w:val="24"/>
          <w:szCs w:val="24"/>
        </w:rPr>
      </w:pPr>
    </w:p>
    <w:p w:rsidR="00237EDE" w:rsidRPr="00237EDE" w:rsidRDefault="00237EDE" w:rsidP="00237EDE">
      <w:pPr>
        <w:rPr>
          <w:rFonts w:ascii="Times New Roman" w:hAnsi="Times New Roman" w:cs="Times New Roman"/>
          <w:sz w:val="24"/>
          <w:szCs w:val="24"/>
        </w:rPr>
      </w:pPr>
    </w:p>
    <w:p w:rsidR="00237EDE" w:rsidRPr="00237EDE" w:rsidRDefault="00237EDE" w:rsidP="00237EDE">
      <w:pPr>
        <w:rPr>
          <w:rFonts w:ascii="Times New Roman" w:hAnsi="Times New Roman" w:cs="Times New Roman"/>
          <w:sz w:val="24"/>
          <w:szCs w:val="24"/>
        </w:rPr>
      </w:pPr>
    </w:p>
    <w:p w:rsidR="00237EDE" w:rsidRPr="00237EDE" w:rsidRDefault="00237EDE" w:rsidP="00237EDE">
      <w:pPr>
        <w:rPr>
          <w:rFonts w:ascii="Times New Roman" w:hAnsi="Times New Roman" w:cs="Times New Roman"/>
          <w:sz w:val="24"/>
          <w:szCs w:val="24"/>
        </w:rPr>
      </w:pPr>
    </w:p>
    <w:p w:rsidR="00237EDE" w:rsidRPr="00237EDE" w:rsidRDefault="00237EDE" w:rsidP="00237EDE">
      <w:pPr>
        <w:rPr>
          <w:rFonts w:ascii="Times New Roman" w:hAnsi="Times New Roman" w:cs="Times New Roman"/>
          <w:sz w:val="24"/>
          <w:szCs w:val="24"/>
        </w:rPr>
      </w:pPr>
    </w:p>
    <w:p w:rsidR="00000000" w:rsidRPr="00237EDE" w:rsidRDefault="00237EDE">
      <w:pPr>
        <w:rPr>
          <w:rFonts w:ascii="Times New Roman" w:hAnsi="Times New Roman" w:cs="Times New Roman"/>
          <w:sz w:val="24"/>
          <w:szCs w:val="24"/>
        </w:rPr>
      </w:pPr>
    </w:p>
    <w:sectPr w:rsidR="00000000" w:rsidRPr="00237EDE" w:rsidSect="004E4599">
      <w:pgSz w:w="11907" w:h="16840" w:code="9"/>
      <w:pgMar w:top="1134" w:right="1134" w:bottom="1134" w:left="1418" w:header="284" w:footer="340" w:gutter="0"/>
      <w:cols w:space="708"/>
      <w:docGrid w:linePitch="3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237EDE"/>
    <w:rsid w:val="0023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E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7E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4724</Characters>
  <Application>Microsoft Office Word</Application>
  <DocSecurity>0</DocSecurity>
  <Lines>39</Lines>
  <Paragraphs>11</Paragraphs>
  <ScaleCrop>false</ScaleCrop>
  <Company>1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2017-06-28T06:55:00Z</dcterms:created>
  <dcterms:modified xsi:type="dcterms:W3CDTF">2017-06-28T06:58:00Z</dcterms:modified>
</cp:coreProperties>
</file>