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71" w:rsidRDefault="00676A71" w:rsidP="00676A71">
      <w:pPr>
        <w:pStyle w:val="ConsPlusTitle"/>
        <w:widowControl/>
        <w:jc w:val="center"/>
      </w:pPr>
      <w:r>
        <w:t>АДМИНИСТРАЦИЯ ГОСТОВСКОГО СЕЛЬСКОГО ПОСЕЛЕНИЯ ШАБАЛИНСКОГО РАЙОНА КИРОВСКОЙ ОБЛАСТИ</w:t>
      </w:r>
    </w:p>
    <w:p w:rsidR="00676A71" w:rsidRDefault="00676A71" w:rsidP="00676A71">
      <w:pPr>
        <w:pStyle w:val="ConsPlusTitle"/>
        <w:widowControl/>
        <w:jc w:val="center"/>
      </w:pPr>
    </w:p>
    <w:p w:rsidR="00676A71" w:rsidRDefault="00676A71" w:rsidP="00676A71">
      <w:pPr>
        <w:pStyle w:val="ConsPlusTitle"/>
        <w:widowControl/>
        <w:jc w:val="center"/>
      </w:pPr>
      <w:r>
        <w:t>РАСПОРЯЖЕНИЕ</w:t>
      </w:r>
    </w:p>
    <w:p w:rsidR="00676A71" w:rsidRDefault="00676A71" w:rsidP="00676A71">
      <w:pPr>
        <w:pStyle w:val="ConsPlusTitle"/>
        <w:widowControl/>
        <w:jc w:val="center"/>
        <w:rPr>
          <w:bCs w:val="0"/>
          <w:sz w:val="22"/>
          <w:szCs w:val="22"/>
        </w:rPr>
      </w:pPr>
      <w:r>
        <w:rPr>
          <w:bCs w:val="0"/>
          <w:sz w:val="22"/>
          <w:szCs w:val="22"/>
        </w:rPr>
        <w:t>п.Гостовский</w:t>
      </w:r>
    </w:p>
    <w:p w:rsidR="00676A71" w:rsidRDefault="00676A71" w:rsidP="00676A71">
      <w:pPr>
        <w:pStyle w:val="ConsPlusTitle"/>
        <w:widowControl/>
        <w:jc w:val="center"/>
        <w:rPr>
          <w:bCs w:val="0"/>
          <w:sz w:val="22"/>
          <w:szCs w:val="22"/>
        </w:rPr>
      </w:pPr>
    </w:p>
    <w:p w:rsidR="00676A71" w:rsidRDefault="00676A71" w:rsidP="00676A71">
      <w:pPr>
        <w:pStyle w:val="ConsPlusTitle"/>
        <w:widowControl/>
        <w:jc w:val="center"/>
        <w:rPr>
          <w:bCs w:val="0"/>
          <w:sz w:val="22"/>
          <w:szCs w:val="22"/>
        </w:rPr>
      </w:pPr>
    </w:p>
    <w:p w:rsidR="00676A71" w:rsidRDefault="00676A71" w:rsidP="00676A71">
      <w:pPr>
        <w:pStyle w:val="ConsPlusTitle"/>
        <w:widowControl/>
        <w:jc w:val="center"/>
        <w:rPr>
          <w:bCs w:val="0"/>
          <w:sz w:val="22"/>
          <w:szCs w:val="22"/>
        </w:rPr>
      </w:pPr>
      <w:r>
        <w:rPr>
          <w:bCs w:val="0"/>
          <w:sz w:val="26"/>
          <w:szCs w:val="26"/>
          <w:u w:val="single"/>
        </w:rPr>
        <w:t xml:space="preserve">от 17  августа  2015г.№31 </w:t>
      </w:r>
    </w:p>
    <w:p w:rsidR="00676A71" w:rsidRDefault="00676A71" w:rsidP="00676A71">
      <w:r>
        <w:t xml:space="preserve">                                                            </w:t>
      </w:r>
    </w:p>
    <w:p w:rsidR="00676A71" w:rsidRDefault="00676A71" w:rsidP="00676A71">
      <w:pPr>
        <w:rPr>
          <w:color w:val="000000"/>
          <w:sz w:val="28"/>
          <w:szCs w:val="28"/>
        </w:rPr>
      </w:pPr>
    </w:p>
    <w:p w:rsidR="00676A71" w:rsidRDefault="00676A71" w:rsidP="00676A71">
      <w:pPr>
        <w:pStyle w:val="1"/>
        <w:jc w:val="center"/>
        <w:rPr>
          <w:b/>
          <w:szCs w:val="24"/>
        </w:rPr>
      </w:pPr>
      <w:r>
        <w:rPr>
          <w:b/>
          <w:szCs w:val="24"/>
        </w:rPr>
        <w:t>Об утверждении учетной политики администрации Гостовского сельского поселения Шабалинского района Кировской области</w:t>
      </w:r>
    </w:p>
    <w:p w:rsidR="00676A71" w:rsidRDefault="00676A71" w:rsidP="00676A71">
      <w:pPr>
        <w:jc w:val="center"/>
        <w:rPr>
          <w:b/>
        </w:rPr>
      </w:pPr>
    </w:p>
    <w:p w:rsidR="00676A71" w:rsidRDefault="00676A71" w:rsidP="00676A71">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 соответствии со статьей 8 Федерального закона от 06.12.2011 №402-ФЗ «О бухгалтерском учете», Налоговым Кодексом РФ и приказом Минфина от 1 декабря 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и Инструкции по его применению»( с  последующими изменениями) (далее по тексту –Инструкция 157н)  :</w:t>
      </w:r>
    </w:p>
    <w:p w:rsidR="00676A71" w:rsidRDefault="00676A71" w:rsidP="00676A71">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с 1 января 2015 года и во все последующие  периоды с внесением в  установленном порядке необходимых изменений и дополнений  Положение об учетной политике администрации Гостовского сельского поселения Шабалинского района Кировской области. Приложение №1</w:t>
      </w:r>
    </w:p>
    <w:p w:rsidR="00676A71" w:rsidRDefault="00676A71" w:rsidP="00676A71">
      <w:pPr>
        <w:numPr>
          <w:ilvl w:val="0"/>
          <w:numId w:val="1"/>
        </w:num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рабочий план счетов бюджетного учета. Приложение №2.</w:t>
      </w:r>
    </w:p>
    <w:p w:rsidR="00676A71" w:rsidRDefault="00676A71" w:rsidP="00676A71">
      <w:pPr>
        <w:numPr>
          <w:ilvl w:val="0"/>
          <w:numId w:val="1"/>
        </w:num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методы оценки отдельных видов имущества и обязательств. Приложение №3.</w:t>
      </w:r>
    </w:p>
    <w:p w:rsidR="00676A71" w:rsidRDefault="00676A71" w:rsidP="00676A71">
      <w:pPr>
        <w:numPr>
          <w:ilvl w:val="0"/>
          <w:numId w:val="1"/>
        </w:num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порядок проведения инвентаризации имущества и обязательств. Приложение №4.</w:t>
      </w:r>
    </w:p>
    <w:p w:rsidR="00676A71" w:rsidRDefault="00676A71" w:rsidP="00676A71">
      <w:pPr>
        <w:numPr>
          <w:ilvl w:val="0"/>
          <w:numId w:val="1"/>
        </w:num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график документооборота первичных учетных документов. Приложение №5.</w:t>
      </w:r>
    </w:p>
    <w:p w:rsidR="00676A71" w:rsidRDefault="00676A71" w:rsidP="00676A71">
      <w:pPr>
        <w:numPr>
          <w:ilvl w:val="0"/>
          <w:numId w:val="1"/>
        </w:num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порядок отражения в учете событий после отчетной даты. Приложение №6.</w:t>
      </w:r>
    </w:p>
    <w:p w:rsidR="00676A71" w:rsidRDefault="00676A71" w:rsidP="00676A71">
      <w:pPr>
        <w:numPr>
          <w:ilvl w:val="0"/>
          <w:numId w:val="1"/>
        </w:num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порядок организации и обеспечения внутреннего финансового контроля. Приложение №7.</w:t>
      </w:r>
    </w:p>
    <w:p w:rsidR="00676A71" w:rsidRDefault="00676A71" w:rsidP="00676A71">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состав постоянно действующей инвентаризационной комиссии.   Приложение №8.</w:t>
      </w:r>
    </w:p>
    <w:p w:rsidR="00676A71" w:rsidRDefault="00676A71" w:rsidP="00676A71">
      <w:pPr>
        <w:numPr>
          <w:ilvl w:val="0"/>
          <w:numId w:val="1"/>
        </w:num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список материально- ответственных лиц. Приложение №9.</w:t>
      </w:r>
    </w:p>
    <w:p w:rsidR="00676A71" w:rsidRDefault="00676A71" w:rsidP="00676A71">
      <w:pPr>
        <w:tabs>
          <w:tab w:val="num" w:pos="720"/>
        </w:tabs>
        <w:spacing w:after="0" w:line="240" w:lineRule="auto"/>
        <w:ind w:left="360"/>
        <w:jc w:val="both"/>
        <w:rPr>
          <w:rFonts w:ascii="Times New Roman" w:hAnsi="Times New Roman" w:cs="Times New Roman"/>
          <w:sz w:val="24"/>
          <w:szCs w:val="24"/>
        </w:rPr>
      </w:pPr>
    </w:p>
    <w:p w:rsidR="00676A71" w:rsidRDefault="00676A71" w:rsidP="00676A71">
      <w:pPr>
        <w:tabs>
          <w:tab w:val="num" w:pos="720"/>
        </w:tabs>
        <w:jc w:val="both"/>
        <w:rPr>
          <w:rFonts w:ascii="Times New Roman" w:hAnsi="Times New Roman" w:cs="Times New Roman"/>
          <w:sz w:val="24"/>
          <w:szCs w:val="24"/>
        </w:rPr>
      </w:pPr>
      <w:r>
        <w:rPr>
          <w:rFonts w:ascii="Times New Roman" w:hAnsi="Times New Roman" w:cs="Times New Roman"/>
          <w:sz w:val="24"/>
          <w:szCs w:val="24"/>
        </w:rPr>
        <w:t>10.Утвердить порядок формирования регистров бюджетного учета, первичных документов. Приложение №10.</w:t>
      </w:r>
    </w:p>
    <w:p w:rsidR="00676A71" w:rsidRDefault="00676A71" w:rsidP="00676A71">
      <w:pPr>
        <w:jc w:val="both"/>
        <w:rPr>
          <w:rFonts w:ascii="Times New Roman" w:hAnsi="Times New Roman" w:cs="Times New Roman"/>
          <w:sz w:val="24"/>
          <w:szCs w:val="24"/>
        </w:rPr>
      </w:pPr>
      <w:r>
        <w:rPr>
          <w:rFonts w:ascii="Times New Roman" w:hAnsi="Times New Roman" w:cs="Times New Roman"/>
          <w:sz w:val="24"/>
          <w:szCs w:val="24"/>
        </w:rPr>
        <w:t>11.Утвердить периодичность формирования на бумажных носителях регистров бюджетного учета в условиях комплексной автоматизации бюджетного учета. Приложение №11.</w:t>
      </w:r>
    </w:p>
    <w:p w:rsidR="00676A71" w:rsidRDefault="00676A71" w:rsidP="00676A71">
      <w:pPr>
        <w:pStyle w:val="2"/>
        <w:spacing w:line="240" w:lineRule="auto"/>
        <w:jc w:val="both"/>
      </w:pPr>
      <w:r>
        <w:t>12.Утвердить перечень бланков строгой отчетности и правила их учета. Приложение №12.</w:t>
      </w:r>
    </w:p>
    <w:p w:rsidR="00676A71" w:rsidRDefault="00676A71" w:rsidP="00676A71">
      <w:pPr>
        <w:jc w:val="both"/>
        <w:rPr>
          <w:rFonts w:ascii="Times New Roman" w:hAnsi="Times New Roman" w:cs="Times New Roman"/>
          <w:sz w:val="24"/>
          <w:szCs w:val="24"/>
        </w:rPr>
      </w:pPr>
      <w:r>
        <w:rPr>
          <w:rFonts w:ascii="Times New Roman" w:hAnsi="Times New Roman" w:cs="Times New Roman"/>
          <w:sz w:val="24"/>
          <w:szCs w:val="24"/>
        </w:rPr>
        <w:lastRenderedPageBreak/>
        <w:t>13.Утвердить список лиц, ответственных за ведение кассовых операций. Приложение № 13.</w:t>
      </w:r>
    </w:p>
    <w:p w:rsidR="00676A71" w:rsidRDefault="00676A71" w:rsidP="00676A71">
      <w:pPr>
        <w:jc w:val="both"/>
        <w:rPr>
          <w:rFonts w:ascii="Times New Roman" w:hAnsi="Times New Roman" w:cs="Times New Roman"/>
          <w:sz w:val="24"/>
          <w:szCs w:val="24"/>
        </w:rPr>
      </w:pPr>
      <w:r>
        <w:rPr>
          <w:rFonts w:ascii="Times New Roman" w:hAnsi="Times New Roman" w:cs="Times New Roman"/>
          <w:sz w:val="24"/>
          <w:szCs w:val="24"/>
        </w:rPr>
        <w:t>14.Утвердить список лиц, имеющих право на получение денежных средств и  денежных документов  под отчет для хозяйственных и текущих нужд. Приложение №14.</w:t>
      </w:r>
    </w:p>
    <w:p w:rsidR="00676A71" w:rsidRDefault="00676A71" w:rsidP="00676A71">
      <w:pPr>
        <w:pStyle w:val="ConsPlusTitle"/>
        <w:widowControl/>
        <w:jc w:val="both"/>
        <w:rPr>
          <w:b w:val="0"/>
          <w:sz w:val="24"/>
          <w:szCs w:val="24"/>
        </w:rPr>
      </w:pPr>
      <w:r>
        <w:rPr>
          <w:b w:val="0"/>
          <w:sz w:val="24"/>
          <w:szCs w:val="24"/>
        </w:rPr>
        <w:t>15.Утвердить порядок выдачи  денежных средств и денежных документов под отчет и оформлению отчетов по их использованию. Приложение №15.</w:t>
      </w:r>
    </w:p>
    <w:p w:rsidR="00676A71" w:rsidRDefault="00676A71" w:rsidP="00676A71">
      <w:pPr>
        <w:jc w:val="both"/>
        <w:rPr>
          <w:rFonts w:ascii="Times New Roman" w:hAnsi="Times New Roman" w:cs="Times New Roman"/>
          <w:color w:val="000000"/>
          <w:sz w:val="24"/>
          <w:szCs w:val="24"/>
        </w:rPr>
      </w:pPr>
      <w:r>
        <w:rPr>
          <w:rFonts w:ascii="Times New Roman" w:hAnsi="Times New Roman" w:cs="Times New Roman"/>
          <w:color w:val="000000"/>
          <w:sz w:val="24"/>
          <w:szCs w:val="24"/>
        </w:rPr>
        <w:t>16.Утвердить формы документов бюджетного учета, по которым законодательством РФ не установлены  типовые формы. Приложение №16.</w:t>
      </w:r>
    </w:p>
    <w:p w:rsidR="00676A71" w:rsidRDefault="00676A71" w:rsidP="00676A71">
      <w:pPr>
        <w:jc w:val="both"/>
        <w:rPr>
          <w:rFonts w:ascii="Times New Roman" w:hAnsi="Times New Roman" w:cs="Times New Roman"/>
          <w:color w:val="000000"/>
          <w:sz w:val="24"/>
          <w:szCs w:val="24"/>
        </w:rPr>
      </w:pPr>
      <w:r>
        <w:rPr>
          <w:rFonts w:ascii="Times New Roman" w:hAnsi="Times New Roman" w:cs="Times New Roman"/>
          <w:color w:val="000000"/>
          <w:sz w:val="24"/>
          <w:szCs w:val="24"/>
        </w:rPr>
        <w:t>17.Утвердить перечень лиц, имеющих право подписи первичных учетных документов. Приложение №17.</w:t>
      </w:r>
    </w:p>
    <w:p w:rsidR="00676A71" w:rsidRDefault="00676A71" w:rsidP="00676A71">
      <w:pPr>
        <w:jc w:val="both"/>
        <w:rPr>
          <w:rFonts w:ascii="Times New Roman" w:hAnsi="Times New Roman" w:cs="Times New Roman"/>
          <w:color w:val="000000"/>
          <w:sz w:val="24"/>
          <w:szCs w:val="24"/>
        </w:rPr>
      </w:pPr>
      <w:r>
        <w:rPr>
          <w:rFonts w:ascii="Times New Roman" w:hAnsi="Times New Roman" w:cs="Times New Roman"/>
          <w:color w:val="000000"/>
          <w:sz w:val="24"/>
          <w:szCs w:val="24"/>
        </w:rPr>
        <w:t>18.Контроль за исполнением настоящего распоряжения возложить на специалиста 1 категории, главного бухгалтера Вахтыкову А.В.</w:t>
      </w:r>
    </w:p>
    <w:tbl>
      <w:tblPr>
        <w:tblW w:w="0" w:type="auto"/>
        <w:tblLayout w:type="fixed"/>
        <w:tblCellMar>
          <w:left w:w="30" w:type="dxa"/>
          <w:right w:w="30" w:type="dxa"/>
        </w:tblCellMar>
        <w:tblLook w:val="04A0"/>
      </w:tblPr>
      <w:tblGrid>
        <w:gridCol w:w="787"/>
        <w:gridCol w:w="788"/>
        <w:gridCol w:w="788"/>
        <w:gridCol w:w="787"/>
        <w:gridCol w:w="787"/>
        <w:gridCol w:w="1058"/>
        <w:gridCol w:w="516"/>
        <w:gridCol w:w="704"/>
        <w:gridCol w:w="787"/>
        <w:gridCol w:w="909"/>
        <w:gridCol w:w="789"/>
      </w:tblGrid>
      <w:tr w:rsidR="00676A71" w:rsidTr="00676A71">
        <w:trPr>
          <w:trHeight w:val="192"/>
        </w:trPr>
        <w:tc>
          <w:tcPr>
            <w:tcW w:w="787" w:type="dxa"/>
          </w:tcPr>
          <w:p w:rsidR="00676A71" w:rsidRDefault="00676A71">
            <w:pPr>
              <w:autoSpaceDE w:val="0"/>
              <w:autoSpaceDN w:val="0"/>
              <w:adjustRightInd w:val="0"/>
              <w:jc w:val="both"/>
              <w:rPr>
                <w:rFonts w:ascii="Times New Roman" w:hAnsi="Times New Roman" w:cs="Times New Roman"/>
                <w:color w:val="000000"/>
                <w:sz w:val="24"/>
                <w:szCs w:val="24"/>
              </w:rPr>
            </w:pPr>
          </w:p>
        </w:tc>
        <w:tc>
          <w:tcPr>
            <w:tcW w:w="788" w:type="dxa"/>
          </w:tcPr>
          <w:p w:rsidR="00676A71" w:rsidRDefault="00676A71">
            <w:pPr>
              <w:autoSpaceDE w:val="0"/>
              <w:autoSpaceDN w:val="0"/>
              <w:adjustRightInd w:val="0"/>
              <w:jc w:val="both"/>
              <w:rPr>
                <w:rFonts w:ascii="Times New Roman" w:hAnsi="Times New Roman" w:cs="Times New Roman"/>
                <w:color w:val="000000"/>
                <w:sz w:val="24"/>
                <w:szCs w:val="24"/>
              </w:rPr>
            </w:pPr>
          </w:p>
        </w:tc>
        <w:tc>
          <w:tcPr>
            <w:tcW w:w="788" w:type="dxa"/>
          </w:tcPr>
          <w:p w:rsidR="00676A71" w:rsidRDefault="00676A71">
            <w:pPr>
              <w:autoSpaceDE w:val="0"/>
              <w:autoSpaceDN w:val="0"/>
              <w:adjustRightInd w:val="0"/>
              <w:jc w:val="both"/>
              <w:rPr>
                <w:rFonts w:ascii="Times New Roman" w:hAnsi="Times New Roman" w:cs="Times New Roman"/>
                <w:color w:val="000000"/>
                <w:sz w:val="24"/>
                <w:szCs w:val="24"/>
              </w:rPr>
            </w:pPr>
          </w:p>
        </w:tc>
        <w:tc>
          <w:tcPr>
            <w:tcW w:w="787" w:type="dxa"/>
          </w:tcPr>
          <w:p w:rsidR="00676A71" w:rsidRDefault="00676A71">
            <w:pPr>
              <w:autoSpaceDE w:val="0"/>
              <w:autoSpaceDN w:val="0"/>
              <w:adjustRightInd w:val="0"/>
              <w:jc w:val="both"/>
              <w:rPr>
                <w:rFonts w:ascii="Times New Roman" w:hAnsi="Times New Roman" w:cs="Times New Roman"/>
                <w:color w:val="000000"/>
                <w:sz w:val="24"/>
                <w:szCs w:val="24"/>
              </w:rPr>
            </w:pPr>
          </w:p>
        </w:tc>
        <w:tc>
          <w:tcPr>
            <w:tcW w:w="787" w:type="dxa"/>
          </w:tcPr>
          <w:p w:rsidR="00676A71" w:rsidRDefault="00676A71">
            <w:pPr>
              <w:autoSpaceDE w:val="0"/>
              <w:autoSpaceDN w:val="0"/>
              <w:adjustRightInd w:val="0"/>
              <w:jc w:val="both"/>
              <w:rPr>
                <w:rFonts w:ascii="Times New Roman" w:hAnsi="Times New Roman" w:cs="Times New Roman"/>
                <w:color w:val="000000"/>
                <w:sz w:val="24"/>
                <w:szCs w:val="24"/>
              </w:rPr>
            </w:pPr>
          </w:p>
        </w:tc>
        <w:tc>
          <w:tcPr>
            <w:tcW w:w="1058" w:type="dxa"/>
          </w:tcPr>
          <w:p w:rsidR="00676A71" w:rsidRDefault="00676A71">
            <w:pPr>
              <w:autoSpaceDE w:val="0"/>
              <w:autoSpaceDN w:val="0"/>
              <w:adjustRightInd w:val="0"/>
              <w:jc w:val="both"/>
              <w:rPr>
                <w:rFonts w:ascii="Times New Roman" w:hAnsi="Times New Roman" w:cs="Times New Roman"/>
                <w:color w:val="000000"/>
                <w:sz w:val="24"/>
                <w:szCs w:val="24"/>
              </w:rPr>
            </w:pPr>
          </w:p>
        </w:tc>
        <w:tc>
          <w:tcPr>
            <w:tcW w:w="516" w:type="dxa"/>
          </w:tcPr>
          <w:p w:rsidR="00676A71" w:rsidRDefault="00676A71">
            <w:pPr>
              <w:autoSpaceDE w:val="0"/>
              <w:autoSpaceDN w:val="0"/>
              <w:adjustRightInd w:val="0"/>
              <w:jc w:val="both"/>
              <w:rPr>
                <w:rFonts w:ascii="Times New Roman" w:hAnsi="Times New Roman" w:cs="Times New Roman"/>
                <w:color w:val="000000"/>
                <w:sz w:val="24"/>
                <w:szCs w:val="24"/>
              </w:rPr>
            </w:pPr>
          </w:p>
        </w:tc>
        <w:tc>
          <w:tcPr>
            <w:tcW w:w="704" w:type="dxa"/>
          </w:tcPr>
          <w:p w:rsidR="00676A71" w:rsidRDefault="00676A71">
            <w:pPr>
              <w:autoSpaceDE w:val="0"/>
              <w:autoSpaceDN w:val="0"/>
              <w:adjustRightInd w:val="0"/>
              <w:jc w:val="both"/>
              <w:rPr>
                <w:rFonts w:ascii="Times New Roman" w:hAnsi="Times New Roman" w:cs="Times New Roman"/>
                <w:color w:val="000000"/>
                <w:sz w:val="24"/>
                <w:szCs w:val="24"/>
              </w:rPr>
            </w:pPr>
          </w:p>
        </w:tc>
        <w:tc>
          <w:tcPr>
            <w:tcW w:w="787" w:type="dxa"/>
          </w:tcPr>
          <w:p w:rsidR="00676A71" w:rsidRDefault="00676A71">
            <w:pPr>
              <w:autoSpaceDE w:val="0"/>
              <w:autoSpaceDN w:val="0"/>
              <w:adjustRightInd w:val="0"/>
              <w:jc w:val="both"/>
              <w:rPr>
                <w:rFonts w:ascii="Times New Roman" w:hAnsi="Times New Roman" w:cs="Times New Roman"/>
                <w:color w:val="000000"/>
                <w:sz w:val="24"/>
                <w:szCs w:val="24"/>
              </w:rPr>
            </w:pPr>
          </w:p>
        </w:tc>
        <w:tc>
          <w:tcPr>
            <w:tcW w:w="909" w:type="dxa"/>
          </w:tcPr>
          <w:p w:rsidR="00676A71" w:rsidRDefault="00676A71">
            <w:pPr>
              <w:autoSpaceDE w:val="0"/>
              <w:autoSpaceDN w:val="0"/>
              <w:adjustRightInd w:val="0"/>
              <w:jc w:val="both"/>
              <w:rPr>
                <w:rFonts w:ascii="Times New Roman" w:hAnsi="Times New Roman" w:cs="Times New Roman"/>
                <w:color w:val="000000"/>
                <w:sz w:val="24"/>
                <w:szCs w:val="24"/>
              </w:rPr>
            </w:pPr>
          </w:p>
        </w:tc>
        <w:tc>
          <w:tcPr>
            <w:tcW w:w="789" w:type="dxa"/>
          </w:tcPr>
          <w:p w:rsidR="00676A71" w:rsidRDefault="00676A71">
            <w:pPr>
              <w:autoSpaceDE w:val="0"/>
              <w:autoSpaceDN w:val="0"/>
              <w:adjustRightInd w:val="0"/>
              <w:jc w:val="both"/>
              <w:rPr>
                <w:rFonts w:ascii="Times New Roman" w:hAnsi="Times New Roman" w:cs="Times New Roman"/>
                <w:color w:val="000000"/>
                <w:sz w:val="24"/>
                <w:szCs w:val="24"/>
              </w:rPr>
            </w:pPr>
          </w:p>
        </w:tc>
      </w:tr>
    </w:tbl>
    <w:p w:rsidR="00676A71" w:rsidRDefault="00676A71" w:rsidP="00676A71">
      <w:pPr>
        <w:rPr>
          <w:rFonts w:ascii="Times New Roman" w:hAnsi="Times New Roman" w:cs="Times New Roman"/>
          <w:sz w:val="24"/>
          <w:szCs w:val="24"/>
        </w:rPr>
      </w:pPr>
      <w:r>
        <w:rPr>
          <w:rFonts w:ascii="Times New Roman" w:hAnsi="Times New Roman" w:cs="Times New Roman"/>
          <w:sz w:val="24"/>
          <w:szCs w:val="24"/>
        </w:rPr>
        <w:t>19.Настоящие распоряжение распространяется на правоотношения, возникшие с 1 января 2015 года.</w:t>
      </w:r>
    </w:p>
    <w:p w:rsidR="00676A71" w:rsidRDefault="00676A71" w:rsidP="00676A71">
      <w:pPr>
        <w:jc w:val="both"/>
        <w:rPr>
          <w:rFonts w:ascii="Times New Roman" w:hAnsi="Times New Roman" w:cs="Times New Roman"/>
          <w:sz w:val="24"/>
          <w:szCs w:val="24"/>
        </w:rPr>
      </w:pPr>
      <w:r>
        <w:rPr>
          <w:rFonts w:ascii="Times New Roman" w:hAnsi="Times New Roman" w:cs="Times New Roman"/>
          <w:sz w:val="24"/>
          <w:szCs w:val="24"/>
        </w:rPr>
        <w:t xml:space="preserve">20.Считать утратившими силу распоряжение администрации Гостовского сельского поселения Шабалинского района Кировской области: от 24 апреля 2013 года № 19 «Об учетной политике администрации Гостовского сельского поселения Шабалинского района Кировской области». </w:t>
      </w:r>
    </w:p>
    <w:p w:rsidR="00676A71" w:rsidRDefault="00676A71" w:rsidP="00676A71">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676A71" w:rsidRDefault="00676A71" w:rsidP="00676A71">
      <w:pPr>
        <w:jc w:val="both"/>
        <w:rPr>
          <w:rFonts w:ascii="Times New Roman" w:hAnsi="Times New Roman" w:cs="Times New Roman"/>
          <w:sz w:val="24"/>
          <w:szCs w:val="24"/>
        </w:rPr>
      </w:pPr>
    </w:p>
    <w:p w:rsidR="00676A71" w:rsidRDefault="00676A71" w:rsidP="00676A71">
      <w:pPr>
        <w:jc w:val="both"/>
        <w:rPr>
          <w:rFonts w:ascii="Times New Roman" w:hAnsi="Times New Roman" w:cs="Times New Roman"/>
          <w:sz w:val="24"/>
          <w:szCs w:val="24"/>
        </w:rPr>
      </w:pPr>
      <w:r>
        <w:rPr>
          <w:rFonts w:ascii="Times New Roman" w:hAnsi="Times New Roman" w:cs="Times New Roman"/>
          <w:sz w:val="24"/>
          <w:szCs w:val="24"/>
        </w:rPr>
        <w:t>Глава администрации                                                             Л.А.Сивкова</w:t>
      </w:r>
    </w:p>
    <w:p w:rsidR="00676A71" w:rsidRDefault="00676A71" w:rsidP="00676A71">
      <w:pPr>
        <w:jc w:val="both"/>
        <w:rPr>
          <w:rFonts w:ascii="Times New Roman" w:hAnsi="Times New Roman" w:cs="Times New Roman"/>
          <w:sz w:val="24"/>
          <w:szCs w:val="24"/>
        </w:rPr>
      </w:pPr>
      <w:r>
        <w:rPr>
          <w:rFonts w:ascii="Times New Roman" w:hAnsi="Times New Roman" w:cs="Times New Roman"/>
          <w:sz w:val="24"/>
          <w:szCs w:val="24"/>
        </w:rPr>
        <w:t xml:space="preserve">Гостовского сельского поселения                                                           </w:t>
      </w:r>
    </w:p>
    <w:p w:rsidR="00676A71" w:rsidRDefault="00676A71" w:rsidP="00676A71">
      <w:pPr>
        <w:jc w:val="both"/>
        <w:rPr>
          <w:rFonts w:ascii="Times New Roman" w:hAnsi="Times New Roman" w:cs="Times New Roman"/>
          <w:sz w:val="24"/>
          <w:szCs w:val="24"/>
        </w:rPr>
      </w:pPr>
    </w:p>
    <w:p w:rsidR="00676A71" w:rsidRDefault="00676A71" w:rsidP="00676A71">
      <w:pPr>
        <w:jc w:val="both"/>
        <w:rPr>
          <w:rFonts w:ascii="Times New Roman" w:hAnsi="Times New Roman" w:cs="Times New Roman"/>
          <w:sz w:val="24"/>
          <w:szCs w:val="24"/>
        </w:rPr>
      </w:pPr>
      <w:r>
        <w:rPr>
          <w:rFonts w:ascii="Times New Roman" w:hAnsi="Times New Roman" w:cs="Times New Roman"/>
          <w:sz w:val="24"/>
          <w:szCs w:val="24"/>
        </w:rPr>
        <w:t>Ознакомлены</w:t>
      </w:r>
    </w:p>
    <w:p w:rsidR="00676A71" w:rsidRDefault="00676A71" w:rsidP="00676A71">
      <w:pPr>
        <w:jc w:val="both"/>
        <w:rPr>
          <w:rFonts w:ascii="Times New Roman" w:hAnsi="Times New Roman" w:cs="Times New Roman"/>
          <w:sz w:val="24"/>
          <w:szCs w:val="24"/>
        </w:rPr>
      </w:pPr>
    </w:p>
    <w:p w:rsidR="00676A71" w:rsidRDefault="00676A71" w:rsidP="00676A71">
      <w:pPr>
        <w:jc w:val="both"/>
        <w:rPr>
          <w:rFonts w:ascii="Times New Roman" w:hAnsi="Times New Roman" w:cs="Times New Roman"/>
          <w:sz w:val="24"/>
          <w:szCs w:val="24"/>
        </w:rPr>
      </w:pPr>
    </w:p>
    <w:p w:rsidR="00676A71" w:rsidRDefault="00676A71" w:rsidP="00676A71">
      <w:pPr>
        <w:jc w:val="both"/>
        <w:rPr>
          <w:rFonts w:ascii="Times New Roman" w:hAnsi="Times New Roman" w:cs="Times New Roman"/>
          <w:sz w:val="24"/>
          <w:szCs w:val="24"/>
        </w:rPr>
      </w:pPr>
    </w:p>
    <w:p w:rsidR="00676A71" w:rsidRDefault="00676A71" w:rsidP="00676A71">
      <w:pPr>
        <w:jc w:val="both"/>
        <w:rPr>
          <w:rFonts w:ascii="Times New Roman" w:hAnsi="Times New Roman" w:cs="Times New Roman"/>
          <w:sz w:val="24"/>
          <w:szCs w:val="24"/>
        </w:rPr>
      </w:pPr>
    </w:p>
    <w:p w:rsidR="00676A71" w:rsidRDefault="00676A71" w:rsidP="00676A71">
      <w:pPr>
        <w:jc w:val="both"/>
        <w:rPr>
          <w:rFonts w:ascii="Times New Roman" w:hAnsi="Times New Roman" w:cs="Times New Roman"/>
          <w:sz w:val="24"/>
          <w:szCs w:val="24"/>
        </w:rPr>
      </w:pPr>
    </w:p>
    <w:p w:rsidR="00676A71" w:rsidRDefault="00676A71" w:rsidP="00676A71">
      <w:pPr>
        <w:jc w:val="both"/>
        <w:rPr>
          <w:rFonts w:ascii="Times New Roman" w:hAnsi="Times New Roman" w:cs="Times New Roman"/>
          <w:sz w:val="24"/>
          <w:szCs w:val="24"/>
        </w:rPr>
      </w:pPr>
    </w:p>
    <w:p w:rsidR="00676A71" w:rsidRDefault="00676A71" w:rsidP="00676A71">
      <w:pPr>
        <w:jc w:val="both"/>
        <w:rPr>
          <w:rFonts w:ascii="Times New Roman" w:hAnsi="Times New Roman" w:cs="Times New Roman"/>
          <w:sz w:val="24"/>
          <w:szCs w:val="24"/>
        </w:rPr>
      </w:pPr>
    </w:p>
    <w:p w:rsidR="00676A71" w:rsidRDefault="00676A71" w:rsidP="00676A71">
      <w:pPr>
        <w:jc w:val="both"/>
        <w:rPr>
          <w:rFonts w:ascii="Times New Roman" w:hAnsi="Times New Roman" w:cs="Times New Roman"/>
          <w:sz w:val="24"/>
          <w:szCs w:val="24"/>
        </w:rPr>
      </w:pPr>
    </w:p>
    <w:p w:rsidR="00676A71" w:rsidRDefault="00676A71" w:rsidP="00676A71">
      <w:pPr>
        <w:ind w:left="5954"/>
        <w:rPr>
          <w:rFonts w:ascii="Times New Roman" w:hAnsi="Times New Roman" w:cs="Times New Roman"/>
          <w:sz w:val="24"/>
          <w:szCs w:val="24"/>
        </w:rPr>
      </w:pPr>
      <w:r>
        <w:rPr>
          <w:rFonts w:ascii="Times New Roman" w:hAnsi="Times New Roman" w:cs="Times New Roman"/>
          <w:sz w:val="24"/>
          <w:szCs w:val="24"/>
        </w:rPr>
        <w:lastRenderedPageBreak/>
        <w:t>Приложение №1                                               к распоряжению администрации Гостовского сельского поселения Шабалинского района Кировской области «Об учетной политике администрации Гостовского сельского поселения Шабалинского района Кировской области»</w:t>
      </w:r>
    </w:p>
    <w:p w:rsidR="00676A71" w:rsidRDefault="00676A71" w:rsidP="00676A71">
      <w:pPr>
        <w:ind w:left="5954"/>
        <w:rPr>
          <w:rFonts w:ascii="Times New Roman" w:hAnsi="Times New Roman" w:cs="Times New Roman"/>
          <w:sz w:val="24"/>
          <w:szCs w:val="24"/>
        </w:rPr>
      </w:pPr>
      <w:r>
        <w:rPr>
          <w:rFonts w:ascii="Times New Roman" w:hAnsi="Times New Roman" w:cs="Times New Roman"/>
          <w:sz w:val="24"/>
          <w:szCs w:val="24"/>
        </w:rPr>
        <w:t>от 17.08.2015 г. № 94</w:t>
      </w:r>
    </w:p>
    <w:p w:rsidR="00676A71" w:rsidRDefault="00676A71" w:rsidP="00676A71">
      <w:pPr>
        <w:jc w:val="both"/>
        <w:rPr>
          <w:rFonts w:ascii="Times New Roman" w:hAnsi="Times New Roman" w:cs="Times New Roman"/>
          <w:sz w:val="24"/>
          <w:szCs w:val="24"/>
        </w:rPr>
      </w:pPr>
    </w:p>
    <w:p w:rsidR="00676A71" w:rsidRDefault="00676A71" w:rsidP="00676A71">
      <w:pPr>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676A71" w:rsidRDefault="00676A71" w:rsidP="00676A71">
      <w:pPr>
        <w:jc w:val="center"/>
        <w:rPr>
          <w:rFonts w:ascii="Times New Roman" w:hAnsi="Times New Roman" w:cs="Times New Roman"/>
          <w:sz w:val="24"/>
          <w:szCs w:val="24"/>
        </w:rPr>
      </w:pPr>
      <w:r>
        <w:rPr>
          <w:rFonts w:ascii="Times New Roman" w:hAnsi="Times New Roman" w:cs="Times New Roman"/>
          <w:b/>
          <w:sz w:val="24"/>
          <w:szCs w:val="24"/>
        </w:rPr>
        <w:t>об учетной политике администрации Гостовского сельского поселения Шабалинского района Кировской области</w:t>
      </w:r>
    </w:p>
    <w:p w:rsidR="00676A71" w:rsidRDefault="00676A71" w:rsidP="00676A7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676A71" w:rsidRDefault="00676A71" w:rsidP="00676A71">
      <w:pPr>
        <w:pStyle w:val="ConsPlusNormal"/>
        <w:ind w:firstLine="540"/>
        <w:jc w:val="center"/>
        <w:rPr>
          <w:rFonts w:ascii="Times New Roman" w:hAnsi="Times New Roman" w:cs="Times New Roman"/>
          <w:sz w:val="24"/>
          <w:szCs w:val="24"/>
        </w:rPr>
      </w:pPr>
    </w:p>
    <w:p w:rsidR="00676A71" w:rsidRDefault="00676A71" w:rsidP="00676A71">
      <w:pPr>
        <w:pStyle w:val="ConsPlusNormal"/>
        <w:jc w:val="center"/>
        <w:rPr>
          <w:rFonts w:ascii="Times New Roman" w:hAnsi="Times New Roman" w:cs="Times New Roman"/>
          <w:sz w:val="24"/>
          <w:szCs w:val="24"/>
        </w:rPr>
      </w:pPr>
      <w:r>
        <w:rPr>
          <w:rFonts w:ascii="Times New Roman" w:hAnsi="Times New Roman" w:cs="Times New Roman"/>
          <w:sz w:val="24"/>
          <w:szCs w:val="24"/>
        </w:rPr>
        <w:t>1. Организация бухгалтерского учета</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Бухгалтерский учет учреждения осуществляется в соответствии с Приказами Минфина России от 01.12.2010 </w:t>
      </w:r>
      <w:hyperlink r:id="rId5" w:history="1">
        <w:r>
          <w:rPr>
            <w:rStyle w:val="a3"/>
            <w:szCs w:val="24"/>
          </w:rPr>
          <w:t>№157н</w:t>
        </w:r>
      </w:hyperlink>
      <w:r>
        <w:rPr>
          <w:rFonts w:ascii="Times New Roman" w:hAnsi="Times New Roman" w:cs="Times New Roman"/>
          <w:sz w:val="24"/>
          <w:szCs w:val="24"/>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и Инструкции по его применению» (с  изменениями)  (далее по тексту –Приказ МФ РФ от 01.12.2010 №157н), от 06.12.2010 </w:t>
      </w:r>
      <w:hyperlink r:id="rId6" w:history="1">
        <w:r>
          <w:rPr>
            <w:rStyle w:val="a3"/>
            <w:szCs w:val="24"/>
          </w:rPr>
          <w:t>№ 162н</w:t>
        </w:r>
      </w:hyperlink>
      <w:r>
        <w:rPr>
          <w:rFonts w:ascii="Times New Roman" w:hAnsi="Times New Roman" w:cs="Times New Roman"/>
          <w:sz w:val="24"/>
          <w:szCs w:val="24"/>
        </w:rPr>
        <w:t xml:space="preserve"> «Об утверждении Плана счетов бюджетного учета и Инструкции по его применению» (с изменениями) (далее по тексту- Приказ МФ РФ от 06.12.2010 №162)  и иными законами и нормативными актами РФ, субъекта РФ, предназначенными для формирования полной и достоверной информации о финансовом, имущественном положении и финансовых результатах деятельности администрации Гостовского сельского поселения Шабалинского района Кировской области (далее по тексту- администрация поселения).</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Бухгалтерский учет в администрации Гостовского сельского поселения осуществляет  специалист 1 категории, главный бухгалтер.</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Право подписи денежных и расчетных  документов предоставлено:</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-первая подпись:</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 Гостовского сельского поселения Сивкова Людмила Анатольевна;</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Гостовского сельского поселения Филиппова Лариса Юрьевна;</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-вторая подпись:</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1 категории, главный бухгалтер администрации Гостовского сельского поселения Вахтыкова Александра Викторовна;</w:t>
      </w:r>
    </w:p>
    <w:p w:rsidR="00676A71" w:rsidRDefault="00676A71" w:rsidP="00676A71">
      <w:pPr>
        <w:pStyle w:val="ConsPlusNormal"/>
        <w:ind w:firstLine="540"/>
        <w:jc w:val="both"/>
        <w:rPr>
          <w:rFonts w:ascii="Times New Roman" w:hAnsi="Times New Roman" w:cs="Times New Roman"/>
          <w:sz w:val="24"/>
          <w:szCs w:val="24"/>
        </w:rPr>
      </w:pP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В учреждении применяются следующие коды вида финансового обеспечения (деятельности):</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- 1 - деятельность, осуществляемая за счет средств местного бюджета бюджетной системы РФ (бюджетная деятельность);</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средства во временном распоряжении.</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1.3. Рабочий план счетов бюджетного учета Приложение № 2 разработан в соответствии с </w:t>
      </w:r>
      <w:hyperlink r:id="rId7" w:history="1">
        <w:r>
          <w:rPr>
            <w:rStyle w:val="a3"/>
            <w:szCs w:val="24"/>
          </w:rPr>
          <w:t>Планом</w:t>
        </w:r>
      </w:hyperlink>
      <w:r>
        <w:rPr>
          <w:rFonts w:ascii="Times New Roman" w:hAnsi="Times New Roman" w:cs="Times New Roman"/>
          <w:sz w:val="24"/>
          <w:szCs w:val="24"/>
        </w:rPr>
        <w:t xml:space="preserve"> счетов бюджетного учета.</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1.4.Обработка учетной информации осуществляется автоматизированно, с применением программного продукта  «Смета КС».</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1.5.Применяются унифицированные формы документов, утвержденные </w:t>
      </w:r>
      <w:hyperlink r:id="rId8" w:history="1">
        <w:r>
          <w:rPr>
            <w:rStyle w:val="a3"/>
            <w:szCs w:val="24"/>
          </w:rPr>
          <w:t>Приказом</w:t>
        </w:r>
      </w:hyperlink>
      <w:r>
        <w:rPr>
          <w:rFonts w:ascii="Times New Roman" w:hAnsi="Times New Roman" w:cs="Times New Roman"/>
          <w:sz w:val="24"/>
          <w:szCs w:val="24"/>
        </w:rPr>
        <w:t xml:space="preserve"> Минфина России от 15.12.2010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(с изменениями) (далее по тексту- Приказ МФ РФ №173н от 15.12.2010).</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оформления финансово-хозяйственных операций, по которым не предусмотрены типовые формы первичных учетных документов, формы разрабатываются учреждением самостоятельно. </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Данные проверенных и принятых к учету первичных учетных документов систематизируются в хронологическом порядке (по датам совершения операций) и группируются по соответствующим счетам бюджетного учета накопительным способом с отражением в следующих регистрах бухгалтерского учета:</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9" w:history="1">
        <w:r>
          <w:rPr>
            <w:rStyle w:val="a3"/>
            <w:szCs w:val="24"/>
          </w:rPr>
          <w:t>Журнал</w:t>
        </w:r>
      </w:hyperlink>
      <w:r>
        <w:rPr>
          <w:rFonts w:ascii="Times New Roman" w:hAnsi="Times New Roman" w:cs="Times New Roman"/>
          <w:sz w:val="24"/>
          <w:szCs w:val="24"/>
        </w:rPr>
        <w:t xml:space="preserve"> №1 операций по счету "Касса";</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Pr>
            <w:rStyle w:val="a3"/>
            <w:szCs w:val="24"/>
          </w:rPr>
          <w:t>Журнал</w:t>
        </w:r>
      </w:hyperlink>
      <w:r>
        <w:rPr>
          <w:rFonts w:ascii="Times New Roman" w:hAnsi="Times New Roman" w:cs="Times New Roman"/>
          <w:sz w:val="24"/>
          <w:szCs w:val="24"/>
        </w:rPr>
        <w:t xml:space="preserve"> №2 операций с безналичными денежными средствами;</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Pr>
            <w:rStyle w:val="a3"/>
            <w:szCs w:val="24"/>
          </w:rPr>
          <w:t>Журнал</w:t>
        </w:r>
      </w:hyperlink>
      <w:r>
        <w:rPr>
          <w:rFonts w:ascii="Times New Roman" w:hAnsi="Times New Roman" w:cs="Times New Roman"/>
          <w:sz w:val="24"/>
          <w:szCs w:val="24"/>
        </w:rPr>
        <w:t xml:space="preserve"> №3 операций расчетов с подотчетными лицами;</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Pr>
            <w:rStyle w:val="a3"/>
            <w:szCs w:val="24"/>
          </w:rPr>
          <w:t>Журнал</w:t>
        </w:r>
      </w:hyperlink>
      <w:r>
        <w:rPr>
          <w:rFonts w:ascii="Times New Roman" w:hAnsi="Times New Roman" w:cs="Times New Roman"/>
          <w:sz w:val="24"/>
          <w:szCs w:val="24"/>
        </w:rPr>
        <w:t xml:space="preserve"> №4 операций расчетов с поставщиками и подрядчиками;</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Pr>
            <w:rStyle w:val="a3"/>
            <w:szCs w:val="24"/>
          </w:rPr>
          <w:t>Журнал</w:t>
        </w:r>
      </w:hyperlink>
      <w:r>
        <w:rPr>
          <w:rFonts w:ascii="Times New Roman" w:hAnsi="Times New Roman" w:cs="Times New Roman"/>
          <w:sz w:val="24"/>
          <w:szCs w:val="24"/>
        </w:rPr>
        <w:t xml:space="preserve">  №5 операций расчетов с дебиторами по доходам;</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Pr>
            <w:rStyle w:val="a3"/>
            <w:szCs w:val="24"/>
          </w:rPr>
          <w:t>Журнал</w:t>
        </w:r>
      </w:hyperlink>
      <w:r>
        <w:rPr>
          <w:rFonts w:ascii="Times New Roman" w:hAnsi="Times New Roman" w:cs="Times New Roman"/>
          <w:sz w:val="24"/>
          <w:szCs w:val="24"/>
        </w:rPr>
        <w:t xml:space="preserve"> №6  операций расчетов по оплате труда;</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Pr>
            <w:rStyle w:val="a3"/>
            <w:szCs w:val="24"/>
          </w:rPr>
          <w:t>Журнал</w:t>
        </w:r>
      </w:hyperlink>
      <w:r>
        <w:rPr>
          <w:rFonts w:ascii="Times New Roman" w:hAnsi="Times New Roman" w:cs="Times New Roman"/>
          <w:sz w:val="24"/>
          <w:szCs w:val="24"/>
        </w:rPr>
        <w:t xml:space="preserve"> №7 операций по выбытию и перемещению нефинансовых активов;</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6" w:history="1">
        <w:r>
          <w:rPr>
            <w:rStyle w:val="a3"/>
            <w:szCs w:val="24"/>
          </w:rPr>
          <w:t>Журнал</w:t>
        </w:r>
      </w:hyperlink>
      <w:r>
        <w:rPr>
          <w:rFonts w:ascii="Times New Roman" w:hAnsi="Times New Roman" w:cs="Times New Roman"/>
          <w:sz w:val="24"/>
          <w:szCs w:val="24"/>
        </w:rPr>
        <w:t xml:space="preserve"> №8 по прочим операциям;</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Журнал №9 по санкционированию;</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Журнал  №3Б по забалансовым счетам;</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Главная книга</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В целях обеспечения сохранности нефинансовых активов, ответственность за их движением возлагается на материально-ответственных лиц. Приложение № 9.  </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Инвентаризация имущества и обязательств проводится в соответствии с положениями </w:t>
      </w:r>
      <w:hyperlink r:id="rId17" w:history="1">
        <w:r>
          <w:rPr>
            <w:rStyle w:val="a3"/>
            <w:szCs w:val="24"/>
          </w:rPr>
          <w:t>Приказа</w:t>
        </w:r>
      </w:hyperlink>
      <w:r>
        <w:rPr>
          <w:rFonts w:ascii="Times New Roman" w:hAnsi="Times New Roman" w:cs="Times New Roman"/>
          <w:sz w:val="24"/>
          <w:szCs w:val="24"/>
        </w:rPr>
        <w:t xml:space="preserve"> Минфина России от 13.06.1995 № 49 «Об утверждении Методических указаний по инвентаризации имущества и финансовых обязательств» (с изменениями). </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и срок сдачи бюджетной отчетности устанавливаются в соответствии с </w:t>
      </w:r>
      <w:hyperlink r:id="rId18" w:history="1">
        <w:r>
          <w:rPr>
            <w:rStyle w:val="a3"/>
            <w:szCs w:val="24"/>
          </w:rPr>
          <w:t>Приказом</w:t>
        </w:r>
      </w:hyperlink>
      <w:r>
        <w:rPr>
          <w:rFonts w:ascii="Times New Roman" w:hAnsi="Times New Roman" w:cs="Times New Roman"/>
          <w:sz w:val="24"/>
          <w:szCs w:val="24"/>
        </w:rPr>
        <w:t xml:space="preserve">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Документооборот и технология  обработки  учетной информации регламентируются графиком документооборота  первичных учетных документов.</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График документооборота  разрабатывается под руководством специалист 1 категории, главного бухгалтера администрации Гостовского сельского поселения и утверждается руководителем. </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Контроль за соблюдением графика документооборота  осуществляет специалист 1 категории, главный бухгалтер администрации Гостовского сельского поселения. </w:t>
      </w:r>
    </w:p>
    <w:p w:rsidR="00676A71" w:rsidRDefault="00676A71" w:rsidP="00676A71">
      <w:pPr>
        <w:jc w:val="both"/>
        <w:rPr>
          <w:rFonts w:ascii="Times New Roman" w:hAnsi="Times New Roman" w:cs="Times New Roman"/>
          <w:sz w:val="24"/>
          <w:szCs w:val="24"/>
        </w:rPr>
      </w:pPr>
      <w:r>
        <w:rPr>
          <w:rFonts w:ascii="Times New Roman" w:hAnsi="Times New Roman" w:cs="Times New Roman"/>
          <w:sz w:val="24"/>
          <w:szCs w:val="24"/>
        </w:rPr>
        <w:t xml:space="preserve">       1.9. В целях определения целесообразности расходов в администрации Гостовского сельского поселения осуществляется внутренний финансовый контроль за расходованием бюджетных средств. </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1.10. Контроль за выполнением и отражением денежных средств, имущества и обязательств в бухгалтерском учете должны осуществлять все специалисты </w:t>
      </w:r>
      <w:r>
        <w:rPr>
          <w:rFonts w:ascii="Times New Roman" w:hAnsi="Times New Roman" w:cs="Times New Roman"/>
          <w:sz w:val="24"/>
          <w:szCs w:val="24"/>
        </w:rPr>
        <w:lastRenderedPageBreak/>
        <w:t>администрации Гостовского сельского поселения.</w:t>
      </w:r>
    </w:p>
    <w:p w:rsidR="00676A71" w:rsidRDefault="00676A71" w:rsidP="00676A71">
      <w:pPr>
        <w:pStyle w:val="ConsPlusNormal"/>
        <w:jc w:val="center"/>
        <w:rPr>
          <w:rFonts w:ascii="Times New Roman" w:hAnsi="Times New Roman" w:cs="Times New Roman"/>
          <w:sz w:val="24"/>
          <w:szCs w:val="24"/>
        </w:rPr>
      </w:pPr>
      <w:r>
        <w:rPr>
          <w:rFonts w:ascii="Times New Roman" w:hAnsi="Times New Roman" w:cs="Times New Roman"/>
          <w:sz w:val="24"/>
          <w:szCs w:val="24"/>
        </w:rPr>
        <w:t>2. Ведение бухгалтерского учета</w:t>
      </w:r>
    </w:p>
    <w:p w:rsidR="00676A71" w:rsidRDefault="00676A71" w:rsidP="00676A71">
      <w:pPr>
        <w:pStyle w:val="ConsPlusNormal"/>
        <w:ind w:firstLine="540"/>
        <w:jc w:val="both"/>
        <w:rPr>
          <w:rFonts w:ascii="Times New Roman" w:hAnsi="Times New Roman" w:cs="Times New Roman"/>
          <w:sz w:val="24"/>
          <w:szCs w:val="24"/>
        </w:rPr>
      </w:pP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Учет основных средств. В качестве основных средств принимаются к учету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для осуществления государственных полномочий (функций) либо управленческих нужд учреждения.</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основным средствам не относятся предметы, служащие менее 12 месяцев, независимо от их стоимости, материальные объекты имущества, относящиеся к материальным запасам.</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или получен. Срок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из:</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информации, содержащейся в законодательстве РФ,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Правительства РФ от 01.01.2002 № 1 «О классификации основных средств, включаемых в амортизационные группы» в амортизационные группы с </w:t>
      </w:r>
      <w:hyperlink r:id="rId19" w:history="1">
        <w:r>
          <w:rPr>
            <w:rStyle w:val="a3"/>
            <w:szCs w:val="24"/>
          </w:rPr>
          <w:t>первой</w:t>
        </w:r>
      </w:hyperlink>
      <w:r>
        <w:rPr>
          <w:rFonts w:ascii="Times New Roman" w:hAnsi="Times New Roman" w:cs="Times New Roman"/>
          <w:sz w:val="24"/>
          <w:szCs w:val="24"/>
        </w:rPr>
        <w:t xml:space="preserve"> по </w:t>
      </w:r>
      <w:hyperlink r:id="rId20" w:history="1">
        <w:r>
          <w:rPr>
            <w:rStyle w:val="a3"/>
            <w:szCs w:val="24"/>
          </w:rPr>
          <w:t>девятую</w:t>
        </w:r>
      </w:hyperlink>
      <w:r>
        <w:rPr>
          <w:rFonts w:ascii="Times New Roman" w:hAnsi="Times New Roman" w:cs="Times New Roman"/>
          <w:sz w:val="24"/>
          <w:szCs w:val="24"/>
        </w:rPr>
        <w:t xml:space="preserve">, срок полезного использования определяется по наибольшему сроку, установленному для указанных амортизационных групп, в </w:t>
      </w:r>
      <w:hyperlink r:id="rId21" w:history="1">
        <w:r>
          <w:rPr>
            <w:rStyle w:val="a3"/>
            <w:szCs w:val="24"/>
          </w:rPr>
          <w:t>десятую амортизационную группу</w:t>
        </w:r>
      </w:hyperlink>
      <w:r>
        <w:rPr>
          <w:rFonts w:ascii="Times New Roman" w:hAnsi="Times New Roman" w:cs="Times New Roman"/>
          <w:sz w:val="24"/>
          <w:szCs w:val="24"/>
        </w:rPr>
        <w:t xml:space="preserve"> - исходя из Единых </w:t>
      </w:r>
      <w:hyperlink r:id="rId22" w:history="1">
        <w:r>
          <w:rPr>
            <w:rStyle w:val="a3"/>
            <w:szCs w:val="24"/>
          </w:rPr>
          <w:t>норм</w:t>
        </w:r>
      </w:hyperlink>
      <w:r>
        <w:rPr>
          <w:rFonts w:ascii="Times New Roman" w:hAnsi="Times New Roman" w:cs="Times New Roman"/>
          <w:sz w:val="24"/>
          <w:szCs w:val="24"/>
        </w:rPr>
        <w:t xml:space="preserve">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 1072;</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рекомендаций, содержащихся в документах производителя, входящих в комплектацию объекта имущества, при отсутствии в законодательстве РФ норм, устанавливающих сроки полезного использования имущества в целях начисления амортизации, в случаях отсутствия информации в законодательстве РФ и в документах производителя - на основании решения комиссии учреждения по поступлению и выбытию активов.</w:t>
      </w:r>
    </w:p>
    <w:p w:rsidR="00676A71" w:rsidRDefault="00676A71" w:rsidP="00676A71">
      <w:pPr>
        <w:jc w:val="both"/>
        <w:rPr>
          <w:rFonts w:ascii="Times New Roman" w:hAnsi="Times New Roman" w:cs="Times New Roman"/>
          <w:sz w:val="24"/>
          <w:szCs w:val="24"/>
        </w:rPr>
      </w:pPr>
      <w:r>
        <w:t xml:space="preserve">     </w:t>
      </w:r>
      <w:r>
        <w:rPr>
          <w:rFonts w:ascii="Times New Roman" w:hAnsi="Times New Roman" w:cs="Times New Roman"/>
          <w:sz w:val="24"/>
          <w:szCs w:val="24"/>
        </w:rPr>
        <w:t>При формировании инвентарных номеров, присваиваемых основным средствам (за исключением объектов стоимостью до 3000 руб.), применяется следующая методика: с 1-го по 3-й символ - номер счета синтетического учета, определяющий групповую принадлежность, с 4-го по 5-й символ – код аналитического учета, с 6-го по 10-й символ - индивидуальный порядковый  номер, присвоенный основному средству.</w:t>
      </w:r>
    </w:p>
    <w:p w:rsidR="00676A71" w:rsidRDefault="00676A71" w:rsidP="00676A71">
      <w:pPr>
        <w:jc w:val="both"/>
        <w:rPr>
          <w:rFonts w:ascii="Times New Roman" w:hAnsi="Times New Roman" w:cs="Times New Roman"/>
          <w:sz w:val="24"/>
          <w:szCs w:val="24"/>
        </w:rPr>
      </w:pPr>
      <w:r>
        <w:rPr>
          <w:rFonts w:ascii="Times New Roman" w:hAnsi="Times New Roman" w:cs="Times New Roman"/>
          <w:sz w:val="24"/>
          <w:szCs w:val="24"/>
        </w:rPr>
        <w:t xml:space="preserve">      Инвентарные номера, присвоенные объектам основных средств до 2011 года, оставить прежними.  Инвентарные номера наносятся на объект краской и иными способами.</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пересматривается по решению комиссии по поступлению и выбытию активов.</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Амортизация основных средств осуществляется линейным способом.</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основным средствам, бывшим в употреблении, поступившим от прочих юридических и физических лиц, установить срок полезного использования с учетом количества лет (месяцев) эксплуатации данного объекта.</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Учет материальных запасов. К материальным запасам относятся:</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предметы, используемые в деятельности учреждения в течение периода, не превышающего 12 месяцев, независимо от их стоимости;</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иные материальные ценности независимо от их стоимости и срока службы:  дыроколы, степлеры, подставки для бумаг, цветочные горшки, канцелярские наборы,  сетевые фильтры, подставки под календари, мусорницы, графины, нож, ножницы, канцелярские папки, канцелярские принадлежности, молотки, отвертки, инструменты, штампы, диски, дискеты, портативные дисководы, плечики, ведра, лопаты, лупы, оснастка печати, оснастка штампа, клише печати, клише штампа, флеш карты и др.</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Единицей материальных запасов является номенклатурный номер.</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Материальные запасы принимаются к учету по фактической стоимости.</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Фактическая стоимость материальных запасов, остающихся у учреждения в результате разборки, утилизации основных средств или иного имущества, определяется исходя из их текущей рыночной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Выбытие, списание материальных запасов осуществляется по  средней фактической стоимости.</w:t>
      </w:r>
    </w:p>
    <w:p w:rsidR="00676A71" w:rsidRDefault="00676A71" w:rsidP="00676A7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2.3. Учет на забалансовых счетах. Учет  основных средств стоимостью менее 3000 рублей включительно, списанных с баланса и переданных в эксплуатацию,  осуществляется на забалансовом счете 21 «Основные средства, стоимостью до 3000 рублей включительно, в эксплуатации».        Принятие к учету  объектов основных средств, стоимостью до 3000 рублей производить  на основании первичного документа, подтверждающего  ввод в эксплуатацию по балансовой стоимости введенного в эксплуатацию объекта.  </w:t>
      </w:r>
    </w:p>
    <w:p w:rsidR="00676A71" w:rsidRDefault="00676A71" w:rsidP="00676A7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Выбытие  объектов основных средств с забалансового счета, в том числе в связи с выявлением порчи, хищений, недостачи и (или) принятия  решения об их списании (уничтожении),  производится на основании Акта о списании объекта основных средств (кроме автотранспортных средств) ф.0306003.</w:t>
      </w:r>
    </w:p>
    <w:p w:rsidR="00676A71" w:rsidRDefault="00676A71" w:rsidP="00676A7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Передача введенных в эксплуатацию объектов основных средств в безвозмездное пользование производится на основании Акта приема- передачи  групп объектов основных средств (кроме зданий и сооружений) ф.0306031. </w:t>
      </w:r>
    </w:p>
    <w:p w:rsidR="00676A71" w:rsidRDefault="00676A71" w:rsidP="00676A7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Внутреннее  перемещение основных средств, числящихся на забалансовых счетах, осуществлять по  Требованию - накладной (ф.0315006).</w:t>
      </w:r>
    </w:p>
    <w:p w:rsidR="00676A71" w:rsidRDefault="00676A71" w:rsidP="00676A7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Аналитический учет по счету 21 «Основные средства, стоимостью до 3000 рублей включительно, в эксплуатации» ведется  по количеству и сумме в разрезе материально- ответственных лиц в карточках количественно-суммового учета  материальных ценностей  ф.0504041.  Основным средствам  стоимостью до 3000 рублей,  учитываемым на забалансовом счете 1.21 ,  присваивается  порядковый номенклатурный номер.</w:t>
      </w:r>
    </w:p>
    <w:p w:rsidR="00676A71" w:rsidRDefault="00676A71" w:rsidP="00676A7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Списание и передача  имущества, числящегося на забалансовом счете  1.21 «Основные средства, стоимостью до 3000 рублей включительно, в эксплуатации» производится без согласования  с вышестоящей  организацией (поселения), собственника.</w:t>
      </w:r>
    </w:p>
    <w:p w:rsidR="00676A71" w:rsidRDefault="00676A71" w:rsidP="00676A7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Учет программных средств, на которые у  учреждения нет исключительных прав  на их использование, ведется на  забалансовом счете 01 «Имущество, полученное в пользование» по стоимости, определяемой исходя из размера вознаграждения, установленного в договоре.</w:t>
      </w:r>
    </w:p>
    <w:p w:rsidR="00676A71" w:rsidRDefault="00676A71" w:rsidP="00676A7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Аналитический учет ведется по количеству и сумме в разрезе материально- ответственных лиц в Карточках количественно- суммового учета материальных ценностей ф.05034041. Списание программных средств производить по Акту на списание материальных запасов ф.0504230. </w:t>
      </w:r>
    </w:p>
    <w:p w:rsidR="00676A71" w:rsidRDefault="00676A71" w:rsidP="00676A7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Внутреннее  перемещение программных средств, числящихся на забалансовых счетах, осуществляется по  Требованию - накладной (ф.0315006).</w:t>
      </w:r>
    </w:p>
    <w:p w:rsidR="00676A71" w:rsidRDefault="00676A71" w:rsidP="00676A71">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 забалансовм счете 03 «Бланки строгой отчетности» учитывать бланки строгой отчетности</w:t>
      </w:r>
    </w:p>
    <w:p w:rsidR="00676A71" w:rsidRDefault="00676A71" w:rsidP="00676A71">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и (или) принятия  решения об их списании (уничтожении),  производить на основании Акта о списании материальных запасов  ф.0504230 по средней фактической стоимости.</w:t>
      </w:r>
    </w:p>
    <w:p w:rsidR="00676A71" w:rsidRDefault="00676A71" w:rsidP="00676A71">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На забалансовом счете 09 «Запасные части к транспортным средствам, выданным взамен изношенных» учитывать: двигатели, аккумуляторы, шины, покрышки, диски, выданные взамен изношенных.</w:t>
      </w:r>
    </w:p>
    <w:p w:rsidR="00676A71" w:rsidRDefault="00676A71" w:rsidP="00676A71">
      <w:pPr>
        <w:pStyle w:val="ConsPlusNonformat"/>
        <w:widowControl/>
        <w:ind w:left="540"/>
        <w:jc w:val="both"/>
        <w:rPr>
          <w:rFonts w:ascii="Times New Roman" w:hAnsi="Times New Roman" w:cs="Times New Roman"/>
          <w:sz w:val="24"/>
          <w:szCs w:val="24"/>
        </w:rPr>
      </w:pPr>
      <w:r>
        <w:rPr>
          <w:rFonts w:ascii="Times New Roman" w:hAnsi="Times New Roman" w:cs="Times New Roman"/>
          <w:sz w:val="24"/>
          <w:szCs w:val="24"/>
        </w:rPr>
        <w:t>2.4. Возврат денежных документов, выданных в подотчет, в кассу производится в последний  рабочий день декабря.</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Учет расчетов по принятым обязательствам. Дебиторскую и кредиторскую задолженность с истекшими сроками исковой давности, нереальную (безнадежную) для взыскания (задолженность, по которой истек установленный срок исковой давности, а также другие долги, по которым в соответствии с гражданским законодательством обязательства прекращены вследствие невозможности их исполнения), списывают по каждому обязательству отдельно на основании акта государственного органа или документа о ликвидации организации, данных проведенной инвентаризации и приказа учреждения.</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Должностные лица, виновные в пропуске сроков исковой давности, привлекаются к ответственности (включая материальную) в соответствии с действующим законодательством. Срок исковой давности определяется </w:t>
      </w:r>
      <w:hyperlink r:id="rId23" w:history="1">
        <w:r>
          <w:rPr>
            <w:rStyle w:val="a3"/>
            <w:szCs w:val="24"/>
          </w:rPr>
          <w:t>ст. ст. 195</w:t>
        </w:r>
      </w:hyperlink>
      <w:r>
        <w:rPr>
          <w:rFonts w:ascii="Times New Roman" w:hAnsi="Times New Roman" w:cs="Times New Roman"/>
          <w:sz w:val="24"/>
          <w:szCs w:val="24"/>
        </w:rPr>
        <w:t xml:space="preserve"> - </w:t>
      </w:r>
      <w:hyperlink r:id="rId24" w:history="1">
        <w:r>
          <w:rPr>
            <w:rStyle w:val="a3"/>
            <w:szCs w:val="24"/>
          </w:rPr>
          <w:t>208</w:t>
        </w:r>
      </w:hyperlink>
      <w:r>
        <w:rPr>
          <w:rFonts w:ascii="Times New Roman" w:hAnsi="Times New Roman" w:cs="Times New Roman"/>
          <w:sz w:val="24"/>
          <w:szCs w:val="24"/>
        </w:rPr>
        <w:t xml:space="preserve"> ГК РФ.</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Учет вложений в нефинансовые активы. Фактические затраты на основные средства и материальные запасы при их приобретении, модернизации, реконструкции, достройке, дооборудовании, которые впоследствии будут приняты к учету, отражаются на счетах:</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- 0 106 11 000 «Вложения в основные средства - недвижимое имущество учреждения»;</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-0 106 31 000 «Вложения в основные средства - иное движимое имущество учреждения»;</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- 0 106 34 000 «Вложения в материальные запасы - иное движимое имущество учреждения».</w:t>
      </w:r>
    </w:p>
    <w:p w:rsidR="00676A71" w:rsidRDefault="00676A71" w:rsidP="00676A71">
      <w:pPr>
        <w:jc w:val="both"/>
        <w:rPr>
          <w:rFonts w:ascii="Times New Roman" w:hAnsi="Times New Roman" w:cs="Times New Roman"/>
          <w:sz w:val="24"/>
          <w:szCs w:val="24"/>
        </w:rPr>
      </w:pPr>
      <w:r>
        <w:t xml:space="preserve">          </w:t>
      </w:r>
      <w:r>
        <w:rPr>
          <w:rFonts w:ascii="Times New Roman" w:hAnsi="Times New Roman" w:cs="Times New Roman"/>
          <w:sz w:val="24"/>
          <w:szCs w:val="24"/>
        </w:rPr>
        <w:t>2.7.Учет санкционирования расходов бюджета осуществляется в соответствии с Приказом МФ РФ от 01.12.2010 №157н,  Приказом МФ РФ от 06.12.2010 № 162н. Операции по принятию бюджетных обязательств отражаются по договорам, контрактам, счетам, счетам-фактурам, расчетно-платежным ведомостям, накладным, авансовым отчетам, товарным чекам, регистрам налогового учета, учета начисленных страховых взносов, уведомлениям по предоставлению межбюджетных трансфертов в текущем финансовом году поселениям и иным документам, подтверждающим возникновение бюджетных обязательств. Операции по принятию денежных обязательств отражаются по счетам, счетам-фактурам, накладным, товарным чекам, по авансовым отчетам, расчетно-платежным ведомостям, регистрам налогового учета и учета начисленных страховых взносов, иным документам, подтверждающих возникновение денежных обязательств.</w:t>
      </w:r>
    </w:p>
    <w:p w:rsidR="00676A71" w:rsidRDefault="00676A71" w:rsidP="00676A71">
      <w:pPr>
        <w:jc w:val="both"/>
        <w:rPr>
          <w:rFonts w:ascii="Times New Roman" w:hAnsi="Times New Roman" w:cs="Times New Roman"/>
          <w:sz w:val="24"/>
          <w:szCs w:val="24"/>
        </w:rPr>
      </w:pPr>
      <w:r>
        <w:rPr>
          <w:rFonts w:ascii="Times New Roman" w:hAnsi="Times New Roman" w:cs="Times New Roman"/>
          <w:sz w:val="24"/>
          <w:szCs w:val="24"/>
        </w:rPr>
        <w:t xml:space="preserve">     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676A71" w:rsidRDefault="00676A71" w:rsidP="00676A7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Показатели (остатки) по соответствующим счетам санкционирования расходов, сформированные в отчетном финансовом году за первый, и второй годы, следующие за текущим финансовым годом обнуляются и не переносятся на соответствующие финансовые годы.</w:t>
      </w:r>
    </w:p>
    <w:p w:rsidR="00676A71" w:rsidRDefault="00676A71" w:rsidP="00676A71">
      <w:pPr>
        <w:jc w:val="both"/>
        <w:rPr>
          <w:rFonts w:ascii="Times New Roman" w:hAnsi="Times New Roman" w:cs="Times New Roman"/>
          <w:sz w:val="24"/>
          <w:szCs w:val="24"/>
        </w:rPr>
      </w:pPr>
      <w:r>
        <w:rPr>
          <w:rFonts w:ascii="Times New Roman" w:hAnsi="Times New Roman" w:cs="Times New Roman"/>
          <w:sz w:val="24"/>
          <w:szCs w:val="24"/>
        </w:rPr>
        <w:t xml:space="preserve">    Операции по санкционированию на соответствующих аналитических счетах на текущий (очередной, первый год, следующий за очередным, второй год, следующий за очередным), производятся ежегодно на основании доведенных финансовым органом ассигнований, лимитов и прогнозных показателей по доходам в соответствии с законом (решением) о бюджете на очередной финансовый год и соответствующие плановые периоды.</w:t>
      </w:r>
    </w:p>
    <w:p w:rsidR="00676A71" w:rsidRDefault="00676A71" w:rsidP="00676A71">
      <w:pPr>
        <w:jc w:val="both"/>
        <w:rPr>
          <w:rFonts w:ascii="Times New Roman" w:hAnsi="Times New Roman" w:cs="Times New Roman"/>
          <w:sz w:val="24"/>
          <w:szCs w:val="24"/>
        </w:rPr>
      </w:pPr>
      <w:r>
        <w:rPr>
          <w:rFonts w:ascii="Times New Roman" w:hAnsi="Times New Roman" w:cs="Times New Roman"/>
          <w:sz w:val="24"/>
          <w:szCs w:val="24"/>
        </w:rPr>
        <w:t xml:space="preserve">   2.8. Аналитический учет по счетам 1 205 00 000 «Расчеты по доходам», 1 206 00 000 «Расчеты по выданным авансам», 1 208 00 000 «Расчеты с подотчетными лицами», 1 302 00 000 «Расчеты по приятым обязательствам», 1 303 00 000 «Расчеты по платежам в бюджет» ведется в Карточке учета средств и расчетов.</w:t>
      </w:r>
    </w:p>
    <w:p w:rsidR="00676A71" w:rsidRDefault="00676A71" w:rsidP="00676A71">
      <w:pPr>
        <w:ind w:left="360"/>
        <w:jc w:val="both"/>
      </w:pP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 Ведение кассовых операций.</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3.1.Ведение кассовых операций осуществлять в соответствии с указаниями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зарегистрированного в Минюсте РФ 23 мая 2014 г. № 32404 (с изменениями).</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3.2.Список лиц, ответственных за ведение кассовых операций определен в приложении №13.</w:t>
      </w:r>
    </w:p>
    <w:p w:rsidR="00676A71" w:rsidRDefault="00676A71" w:rsidP="00676A71">
      <w:pPr>
        <w:pStyle w:val="ConsPlusNormal"/>
        <w:ind w:firstLine="540"/>
        <w:jc w:val="both"/>
        <w:rPr>
          <w:rFonts w:ascii="Times New Roman" w:hAnsi="Times New Roman" w:cs="Times New Roman"/>
          <w:sz w:val="24"/>
          <w:szCs w:val="24"/>
        </w:rPr>
      </w:pPr>
    </w:p>
    <w:p w:rsidR="00676A71" w:rsidRDefault="00676A71" w:rsidP="00676A71">
      <w:pPr>
        <w:pStyle w:val="ConsPlusNormal"/>
        <w:jc w:val="center"/>
        <w:rPr>
          <w:rFonts w:ascii="Times New Roman" w:hAnsi="Times New Roman" w:cs="Times New Roman"/>
          <w:sz w:val="24"/>
          <w:szCs w:val="24"/>
        </w:rPr>
      </w:pPr>
      <w:r>
        <w:rPr>
          <w:rFonts w:ascii="Times New Roman" w:hAnsi="Times New Roman" w:cs="Times New Roman"/>
          <w:sz w:val="24"/>
          <w:szCs w:val="24"/>
        </w:rPr>
        <w:t>4. Учетная политика для целей налогообложения.</w:t>
      </w:r>
    </w:p>
    <w:p w:rsidR="00676A71" w:rsidRDefault="00676A71" w:rsidP="00676A71">
      <w:pPr>
        <w:pStyle w:val="ConsPlusNormal"/>
        <w:ind w:firstLine="540"/>
        <w:jc w:val="both"/>
        <w:rPr>
          <w:rFonts w:ascii="Times New Roman" w:hAnsi="Times New Roman" w:cs="Times New Roman"/>
          <w:sz w:val="24"/>
          <w:szCs w:val="24"/>
        </w:rPr>
      </w:pP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Налоговый учет ведется в соответствии с Налоговым </w:t>
      </w:r>
      <w:hyperlink r:id="rId25" w:history="1">
        <w:r>
          <w:rPr>
            <w:rStyle w:val="a3"/>
            <w:szCs w:val="24"/>
          </w:rPr>
          <w:t>кодексом</w:t>
        </w:r>
      </w:hyperlink>
      <w:r>
        <w:rPr>
          <w:rFonts w:ascii="Times New Roman" w:hAnsi="Times New Roman" w:cs="Times New Roman"/>
          <w:sz w:val="24"/>
          <w:szCs w:val="24"/>
        </w:rPr>
        <w:t xml:space="preserve"> (НК РФ) и иными нормативными правовыми актами Российской Федерации по вопросам налогообложения.</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Основными задачами налогового учета являются:</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-формирование полной и достоверной информации для определения налоговой базы;</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-обеспечение своевременного представления налоговых деклараций и другой информации в налоговые органы.</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Налоговый учет осуществляет специалист 1 категории, главный бухгалтер.</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4.4. Для подтверждения данных налогового учета применяются первичные документы, регистры бухгалтерского учета и бухгалтерские справки, оформленные Налоговый учет ведется с применением регистров бухгалтерского учета, утвержденных  Приказом МФ РФ №173н от 15.12.2010.</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4.6.Учет сумм начисленных выплат и иных вознаграждений, выплаченных физическим лицам, а также сумм страховых взносов в Пенсионный фонд России, сумм в ТФОМС и социального страхования, относящихся к ним, по каждому физическому лицу, в пользу которого осуществлялись выплаты. Ведется в индивидуальных карточках по форме, утвержденной Министерством по налогам и сборам РФ.</w:t>
      </w:r>
    </w:p>
    <w:p w:rsidR="00676A71" w:rsidRDefault="00676A71" w:rsidP="00676A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Ответственным за ведение карточек формы №1-НДФЛ и карточек индивидуального учета сумм начисленных выплат и иных вознаграждений и сумм начисленных страховых взносов назначить специалиста 1 категории, главного бухгалтер Вахтыкову Александру Викторовну. </w:t>
      </w:r>
    </w:p>
    <w:p w:rsidR="00676A71" w:rsidRDefault="00676A71" w:rsidP="00676A71">
      <w:pPr>
        <w:jc w:val="both"/>
      </w:pPr>
      <w:r>
        <w:t xml:space="preserve">    </w:t>
      </w:r>
    </w:p>
    <w:p w:rsidR="00676A71" w:rsidRDefault="00676A71" w:rsidP="00676A71">
      <w:pPr>
        <w:ind w:left="360"/>
        <w:jc w:val="both"/>
      </w:pPr>
    </w:p>
    <w:p w:rsidR="00676A71" w:rsidRDefault="00676A71" w:rsidP="00676A71">
      <w:pPr>
        <w:ind w:left="360"/>
        <w:jc w:val="both"/>
      </w:pPr>
      <w:r>
        <w:t xml:space="preserve">         </w:t>
      </w:r>
    </w:p>
    <w:p w:rsidR="00676A71" w:rsidRDefault="00676A71" w:rsidP="00676A7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 Изменение учетной политики.</w:t>
      </w:r>
    </w:p>
    <w:p w:rsidR="00676A71" w:rsidRDefault="00676A71" w:rsidP="00676A71">
      <w:pPr>
        <w:autoSpaceDE w:val="0"/>
        <w:autoSpaceDN w:val="0"/>
        <w:adjustRightInd w:val="0"/>
        <w:jc w:val="center"/>
        <w:rPr>
          <w:rFonts w:ascii="Times New Roman" w:hAnsi="Times New Roman" w:cs="Times New Roman"/>
          <w:sz w:val="24"/>
          <w:szCs w:val="24"/>
        </w:rPr>
      </w:pPr>
    </w:p>
    <w:p w:rsidR="00676A71" w:rsidRDefault="00676A71" w:rsidP="00676A7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Учетная политика администрации Гостовского сельского поселения Шабалинского района применяется с момента ее утверждения последовательно из года в год. Изменение учетной политики производится при следующих условиях:</w:t>
      </w:r>
    </w:p>
    <w:p w:rsidR="00676A71" w:rsidRDefault="00676A71" w:rsidP="00676A7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в случае изменения требований, установленных законодательством  Российской Федерации и о бухгалтерском учете, федеральными и (или) отраслевыми стандартами;</w:t>
      </w:r>
    </w:p>
    <w:p w:rsidR="00676A71" w:rsidRDefault="00676A71" w:rsidP="00676A7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676A71" w:rsidRDefault="00676A71" w:rsidP="00676A7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существенном изменении условий деятельности экономического субъекта.</w:t>
      </w:r>
    </w:p>
    <w:p w:rsidR="00676A71" w:rsidRDefault="00676A71" w:rsidP="00676A71">
      <w:pPr>
        <w:rPr>
          <w:rFonts w:ascii="Times New Roman" w:hAnsi="Times New Roman" w:cs="Times New Roman"/>
          <w:color w:val="000000"/>
          <w:sz w:val="24"/>
          <w:szCs w:val="24"/>
        </w:rPr>
      </w:pPr>
    </w:p>
    <w:p w:rsidR="00676A71" w:rsidRDefault="00676A71" w:rsidP="00676A71">
      <w:pPr>
        <w:rPr>
          <w:rFonts w:ascii="Times New Roman" w:hAnsi="Times New Roman" w:cs="Times New Roman"/>
          <w:color w:val="000000"/>
          <w:sz w:val="24"/>
          <w:szCs w:val="24"/>
        </w:rPr>
      </w:pPr>
    </w:p>
    <w:p w:rsidR="00676A71" w:rsidRDefault="00676A71" w:rsidP="00676A71">
      <w:pPr>
        <w:rPr>
          <w:color w:val="000000"/>
          <w:sz w:val="28"/>
          <w:szCs w:val="28"/>
        </w:rPr>
      </w:pPr>
    </w:p>
    <w:p w:rsidR="00676A71" w:rsidRDefault="00676A71" w:rsidP="00676A71"/>
    <w:p w:rsidR="00000000" w:rsidRDefault="00676A7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2FF"/>
    <w:multiLevelType w:val="multilevel"/>
    <w:tmpl w:val="FEB616A0"/>
    <w:lvl w:ilvl="0">
      <w:start w:val="1"/>
      <w:numFmt w:val="decimal"/>
      <w:lvlText w:val="%1."/>
      <w:lvlJc w:val="left"/>
      <w:pPr>
        <w:tabs>
          <w:tab w:val="num" w:pos="360"/>
        </w:tabs>
        <w:ind w:left="360" w:hanging="360"/>
      </w:pPr>
      <w:rPr>
        <w:b w:val="0"/>
        <w:sz w:val="28"/>
        <w:szCs w:val="28"/>
      </w:rPr>
    </w:lvl>
    <w:lvl w:ilvl="1">
      <w:start w:val="1"/>
      <w:numFmt w:val="decimal"/>
      <w:isLgl/>
      <w:lvlText w:val="%1.%2"/>
      <w:lvlJc w:val="left"/>
      <w:pPr>
        <w:ind w:left="780" w:hanging="420"/>
      </w:pPr>
      <w:rPr>
        <w:b w:val="0"/>
      </w:rPr>
    </w:lvl>
    <w:lvl w:ilvl="2">
      <w:start w:val="1"/>
      <w:numFmt w:val="decimal"/>
      <w:isLgl/>
      <w:lvlText w:val="%1.%2.%3"/>
      <w:lvlJc w:val="left"/>
      <w:pPr>
        <w:ind w:left="900" w:hanging="720"/>
      </w:pPr>
      <w:rPr>
        <w:b w:val="0"/>
      </w:rPr>
    </w:lvl>
    <w:lvl w:ilvl="3">
      <w:start w:val="1"/>
      <w:numFmt w:val="decimal"/>
      <w:isLgl/>
      <w:lvlText w:val="%1.%2.%3.%4"/>
      <w:lvlJc w:val="left"/>
      <w:pPr>
        <w:ind w:left="900" w:hanging="720"/>
      </w:pPr>
      <w:rPr>
        <w:b w:val="0"/>
      </w:rPr>
    </w:lvl>
    <w:lvl w:ilvl="4">
      <w:start w:val="1"/>
      <w:numFmt w:val="decimal"/>
      <w:isLgl/>
      <w:lvlText w:val="%1.%2.%3.%4.%5"/>
      <w:lvlJc w:val="left"/>
      <w:pPr>
        <w:ind w:left="1260" w:hanging="1080"/>
      </w:pPr>
      <w:rPr>
        <w:b w:val="0"/>
      </w:rPr>
    </w:lvl>
    <w:lvl w:ilvl="5">
      <w:start w:val="1"/>
      <w:numFmt w:val="decimal"/>
      <w:isLgl/>
      <w:lvlText w:val="%1.%2.%3.%4.%5.%6"/>
      <w:lvlJc w:val="left"/>
      <w:pPr>
        <w:ind w:left="1260" w:hanging="1080"/>
      </w:pPr>
      <w:rPr>
        <w:b w:val="0"/>
      </w:rPr>
    </w:lvl>
    <w:lvl w:ilvl="6">
      <w:start w:val="1"/>
      <w:numFmt w:val="decimal"/>
      <w:isLgl/>
      <w:lvlText w:val="%1.%2.%3.%4.%5.%6.%7"/>
      <w:lvlJc w:val="left"/>
      <w:pPr>
        <w:ind w:left="1620" w:hanging="1440"/>
      </w:pPr>
      <w:rPr>
        <w:b w:val="0"/>
      </w:rPr>
    </w:lvl>
    <w:lvl w:ilvl="7">
      <w:start w:val="1"/>
      <w:numFmt w:val="decimal"/>
      <w:isLgl/>
      <w:lvlText w:val="%1.%2.%3.%4.%5.%6.%7.%8"/>
      <w:lvlJc w:val="left"/>
      <w:pPr>
        <w:ind w:left="1620" w:hanging="1440"/>
      </w:pPr>
      <w:rPr>
        <w:b w:val="0"/>
      </w:rPr>
    </w:lvl>
    <w:lvl w:ilvl="8">
      <w:start w:val="1"/>
      <w:numFmt w:val="decimal"/>
      <w:isLgl/>
      <w:lvlText w:val="%1.%2.%3.%4.%5.%6.%7.%8.%9"/>
      <w:lvlJc w:val="left"/>
      <w:pPr>
        <w:ind w:left="1980" w:hanging="1800"/>
      </w:pPr>
      <w:rPr>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676A71"/>
    <w:rsid w:val="00676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6A71"/>
    <w:pPr>
      <w:keepNext/>
      <w:spacing w:after="0" w:line="240" w:lineRule="auto"/>
      <w:jc w:val="both"/>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A71"/>
    <w:rPr>
      <w:rFonts w:ascii="Times New Roman" w:eastAsia="Times New Roman" w:hAnsi="Times New Roman" w:cs="Times New Roman"/>
      <w:sz w:val="24"/>
      <w:szCs w:val="20"/>
    </w:rPr>
  </w:style>
  <w:style w:type="character" w:styleId="a3">
    <w:name w:val="Hyperlink"/>
    <w:basedOn w:val="a0"/>
    <w:semiHidden/>
    <w:unhideWhenUsed/>
    <w:rsid w:val="00676A71"/>
    <w:rPr>
      <w:color w:val="0000FF"/>
      <w:u w:val="single"/>
    </w:rPr>
  </w:style>
  <w:style w:type="paragraph" w:styleId="2">
    <w:name w:val="Body Text 2"/>
    <w:basedOn w:val="a"/>
    <w:link w:val="20"/>
    <w:semiHidden/>
    <w:unhideWhenUsed/>
    <w:rsid w:val="00676A71"/>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676A71"/>
    <w:rPr>
      <w:rFonts w:ascii="Times New Roman" w:eastAsia="Times New Roman" w:hAnsi="Times New Roman" w:cs="Times New Roman"/>
      <w:sz w:val="24"/>
      <w:szCs w:val="24"/>
    </w:rPr>
  </w:style>
  <w:style w:type="paragraph" w:customStyle="1" w:styleId="ConsPlusTitle">
    <w:name w:val="ConsPlusTitle"/>
    <w:rsid w:val="00676A7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nformat">
    <w:name w:val="ConsPlusNonformat"/>
    <w:rsid w:val="00676A7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76A71"/>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3863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6B0CE849594D1E103F38FE3B774F6033880A6AEB64B5F091D7765FEIDhFI" TargetMode="External"/><Relationship Id="rId13" Type="http://schemas.openxmlformats.org/officeDocument/2006/relationships/hyperlink" Target="consultantplus://offline/ref=BC16B0CE849594D1E103F38FE3B774F6033880A6AEB64B5F091D7765FEDF129EA5D4476E1CC083C8I5hEI" TargetMode="External"/><Relationship Id="rId18" Type="http://schemas.openxmlformats.org/officeDocument/2006/relationships/hyperlink" Target="consultantplus://offline/ref=BC16B0CE849594D1E103F38FE3B774F6033880A2A2B64B5F091D7765FEIDhF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C16B0CE849594D1E103F38FE3B774F603388FACA8B04B5F091D7765FEDF129EA5D4476E1CC082C5I5hAI" TargetMode="External"/><Relationship Id="rId7" Type="http://schemas.openxmlformats.org/officeDocument/2006/relationships/hyperlink" Target="consultantplus://offline/ref=BC16B0CE849594D1E103F38FE3B774F603388FA3ACB94B5F091D7765FEDF129EA5D4476E1CC181C1I5hDI" TargetMode="External"/><Relationship Id="rId12" Type="http://schemas.openxmlformats.org/officeDocument/2006/relationships/hyperlink" Target="consultantplus://offline/ref=BC16B0CE849594D1E103F38FE3B774F6033880A6AEB64B5F091D7765FEDF129EA5D4476E1CC083C8I5hEI" TargetMode="External"/><Relationship Id="rId17" Type="http://schemas.openxmlformats.org/officeDocument/2006/relationships/hyperlink" Target="consultantplus://offline/ref=BC16B0CE849594D1E103F38FE3B774F603388FACACB14B5F091D7765FEIDhFI" TargetMode="External"/><Relationship Id="rId25" Type="http://schemas.openxmlformats.org/officeDocument/2006/relationships/hyperlink" Target="consultantplus://offline/ref=BC16B0CE849594D1E103F38FE3B774F603398DA3A3B44B5F091D7765FEIDhFI" TargetMode="External"/><Relationship Id="rId2" Type="http://schemas.openxmlformats.org/officeDocument/2006/relationships/styles" Target="styles.xml"/><Relationship Id="rId16" Type="http://schemas.openxmlformats.org/officeDocument/2006/relationships/hyperlink" Target="consultantplus://offline/ref=BC16B0CE849594D1E103F38FE3B774F6033880A6AEB64B5F091D7765FEDF129EA5D4476E1CC083C8I5hEI" TargetMode="External"/><Relationship Id="rId20" Type="http://schemas.openxmlformats.org/officeDocument/2006/relationships/hyperlink" Target="consultantplus://offline/ref=BC16B0CE849594D1E103F38FE3B774F603388FACA8B04B5F091D7765FEDF129EA5D4476E1CC083C6I5hDI" TargetMode="External"/><Relationship Id="rId1" Type="http://schemas.openxmlformats.org/officeDocument/2006/relationships/numbering" Target="numbering.xml"/><Relationship Id="rId6" Type="http://schemas.openxmlformats.org/officeDocument/2006/relationships/hyperlink" Target="consultantplus://offline/ref=BC16B0CE849594D1E103F38FE3B774F603388FA3ACB94B5F091D7765FEIDhFI" TargetMode="External"/><Relationship Id="rId11" Type="http://schemas.openxmlformats.org/officeDocument/2006/relationships/hyperlink" Target="consultantplus://offline/ref=BC16B0CE849594D1E103F38FE3B774F6033880A6AEB64B5F091D7765FEDF129EA5D4476E1CC083C8I5hEI" TargetMode="External"/><Relationship Id="rId24" Type="http://schemas.openxmlformats.org/officeDocument/2006/relationships/hyperlink" Target="consultantplus://offline/ref=BC16B0CE849594D1E103F38FE3B774F603398AA2ACB14B5F091D7765FEDF129EA5D4476E1CC080C1I5h8I" TargetMode="External"/><Relationship Id="rId5" Type="http://schemas.openxmlformats.org/officeDocument/2006/relationships/hyperlink" Target="consultantplus://offline/ref=BC16B0CE849594D1E103F38FE3B774F603388FA2AEB14B5F091D7765FEIDhFI" TargetMode="External"/><Relationship Id="rId15" Type="http://schemas.openxmlformats.org/officeDocument/2006/relationships/hyperlink" Target="consultantplus://offline/ref=BC16B0CE849594D1E103F38FE3B774F6033880A6AEB64B5F091D7765FEDF129EA5D4476E1CC083C8I5hEI" TargetMode="External"/><Relationship Id="rId23" Type="http://schemas.openxmlformats.org/officeDocument/2006/relationships/hyperlink" Target="consultantplus://offline/ref=BC16B0CE849594D1E103F38FE3B774F603398AA2ACB14B5F091D7765FEDF129EA5D4476E1CC081C7I5hBI" TargetMode="External"/><Relationship Id="rId10" Type="http://schemas.openxmlformats.org/officeDocument/2006/relationships/hyperlink" Target="consultantplus://offline/ref=BC16B0CE849594D1E103F38FE3B774F6033880A6AEB64B5F091D7765FEDF129EA5D4476E1CC083C8I5hEI" TargetMode="External"/><Relationship Id="rId19" Type="http://schemas.openxmlformats.org/officeDocument/2006/relationships/hyperlink" Target="consultantplus://offline/ref=BC16B0CE849594D1E103F38FE3B774F603388FACA8B04B5F091D7765FEDF129EA5D4476E1CC181C1I5hBI" TargetMode="External"/><Relationship Id="rId4" Type="http://schemas.openxmlformats.org/officeDocument/2006/relationships/webSettings" Target="webSettings.xml"/><Relationship Id="rId9" Type="http://schemas.openxmlformats.org/officeDocument/2006/relationships/hyperlink" Target="consultantplus://offline/ref=BC16B0CE849594D1E103F38FE3B774F6033880A6AEB64B5F091D7765FEDF129EA5D4476E1CC083C8I5hEI" TargetMode="External"/><Relationship Id="rId14" Type="http://schemas.openxmlformats.org/officeDocument/2006/relationships/hyperlink" Target="consultantplus://offline/ref=BC16B0CE849594D1E103F38FE3B774F6033880A6AEB64B5F091D7765FEDF129EA5D4476E1CC083C8I5hEI" TargetMode="External"/><Relationship Id="rId22" Type="http://schemas.openxmlformats.org/officeDocument/2006/relationships/hyperlink" Target="consultantplus://offline/ref=BC16B0CE849594D1E103F38FE3B774F603318AA2A0E71C5D58487960F68F5A8EEB914A6F1CC2I8h5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3760</Words>
  <Characters>21438</Characters>
  <Application>Microsoft Office Word</Application>
  <DocSecurity>0</DocSecurity>
  <Lines>178</Lines>
  <Paragraphs>50</Paragraphs>
  <ScaleCrop>false</ScaleCrop>
  <Company>1</Company>
  <LinksUpToDate>false</LinksUpToDate>
  <CharactersWithSpaces>25148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2015-10-16T11:00:00Z</dcterms:created>
  <dcterms:modified xsi:type="dcterms:W3CDTF">2015-10-16T11:00:00Z</dcterms:modified>
</cp:coreProperties>
</file>