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46" w:rsidRDefault="00AF5A46" w:rsidP="00AF5A46">
      <w:pPr>
        <w:pStyle w:val="ConsPlusTitle"/>
        <w:widowControl/>
        <w:jc w:val="center"/>
      </w:pPr>
      <w:r>
        <w:t>ПРОЕКТ</w:t>
      </w:r>
    </w:p>
    <w:p w:rsidR="00AF5A46" w:rsidRDefault="00AF5A46" w:rsidP="00AF5A46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AF5A46" w:rsidRDefault="00AF5A46" w:rsidP="00AF5A46">
      <w:pPr>
        <w:pStyle w:val="ConsPlusTitle"/>
        <w:widowControl/>
        <w:jc w:val="center"/>
      </w:pPr>
    </w:p>
    <w:p w:rsidR="00AF5A46" w:rsidRDefault="00AF5A46" w:rsidP="00AF5A46">
      <w:pPr>
        <w:pStyle w:val="ConsPlusTitle"/>
        <w:widowControl/>
        <w:jc w:val="center"/>
      </w:pPr>
      <w:r>
        <w:t>РАСПОРЯЖЕНИЕ</w:t>
      </w:r>
    </w:p>
    <w:p w:rsidR="00AF5A46" w:rsidRDefault="00AF5A46" w:rsidP="00AF5A46">
      <w:pPr>
        <w:pStyle w:val="ConsPlusTitle"/>
        <w:widowControl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</w:t>
      </w:r>
      <w:proofErr w:type="gramStart"/>
      <w:r>
        <w:rPr>
          <w:bCs w:val="0"/>
          <w:sz w:val="22"/>
          <w:szCs w:val="22"/>
        </w:rPr>
        <w:t>.Г</w:t>
      </w:r>
      <w:proofErr w:type="gramEnd"/>
      <w:r>
        <w:rPr>
          <w:bCs w:val="0"/>
          <w:sz w:val="22"/>
          <w:szCs w:val="22"/>
        </w:rPr>
        <w:t>остовский</w:t>
      </w:r>
    </w:p>
    <w:p w:rsidR="00AF5A46" w:rsidRDefault="00AF5A46" w:rsidP="00AF5A46">
      <w:pPr>
        <w:pStyle w:val="ConsPlusTitle"/>
        <w:widowControl/>
        <w:jc w:val="center"/>
        <w:rPr>
          <w:bCs w:val="0"/>
          <w:sz w:val="22"/>
          <w:szCs w:val="22"/>
        </w:rPr>
      </w:pPr>
    </w:p>
    <w:p w:rsidR="00AF5A46" w:rsidRDefault="00AF5A46" w:rsidP="00AF5A46">
      <w:pPr>
        <w:pStyle w:val="ConsPlusTitle"/>
        <w:widowControl/>
        <w:jc w:val="center"/>
        <w:rPr>
          <w:bCs w:val="0"/>
          <w:sz w:val="22"/>
          <w:szCs w:val="22"/>
        </w:rPr>
      </w:pPr>
    </w:p>
    <w:p w:rsidR="00AF5A46" w:rsidRPr="00635809" w:rsidRDefault="00AF5A46" w:rsidP="00AF5A46">
      <w:pPr>
        <w:pStyle w:val="ConsPlusTitle"/>
        <w:widowControl/>
        <w:jc w:val="center"/>
        <w:rPr>
          <w:bCs w:val="0"/>
          <w:sz w:val="22"/>
          <w:szCs w:val="22"/>
        </w:rPr>
      </w:pPr>
      <w:r>
        <w:rPr>
          <w:bCs w:val="0"/>
          <w:sz w:val="26"/>
          <w:szCs w:val="26"/>
          <w:u w:val="single"/>
        </w:rPr>
        <w:t>от</w:t>
      </w:r>
      <w:proofErr w:type="gramStart"/>
      <w:r>
        <w:rPr>
          <w:bCs w:val="0"/>
          <w:sz w:val="26"/>
          <w:szCs w:val="26"/>
          <w:u w:val="single"/>
        </w:rPr>
        <w:t xml:space="preserve">                            .</w:t>
      </w:r>
      <w:proofErr w:type="gramEnd"/>
      <w:r>
        <w:rPr>
          <w:bCs w:val="0"/>
          <w:sz w:val="26"/>
          <w:szCs w:val="26"/>
          <w:u w:val="single"/>
        </w:rPr>
        <w:t xml:space="preserve">№ </w:t>
      </w:r>
    </w:p>
    <w:p w:rsidR="00AF5A46" w:rsidRDefault="00AF5A46" w:rsidP="00AF5A46">
      <w:r>
        <w:t xml:space="preserve">                                                            </w:t>
      </w:r>
    </w:p>
    <w:p w:rsidR="00AF5A46" w:rsidRDefault="00AF5A46" w:rsidP="00AF5A46">
      <w:pPr>
        <w:rPr>
          <w:color w:val="000000"/>
          <w:sz w:val="28"/>
          <w:szCs w:val="28"/>
        </w:rPr>
      </w:pPr>
    </w:p>
    <w:p w:rsidR="00AF5A46" w:rsidRPr="004017DC" w:rsidRDefault="00AF5A46" w:rsidP="00AF5A46">
      <w:pPr>
        <w:pStyle w:val="1"/>
        <w:jc w:val="center"/>
        <w:rPr>
          <w:b/>
          <w:szCs w:val="24"/>
        </w:rPr>
      </w:pPr>
      <w:r w:rsidRPr="004017DC">
        <w:rPr>
          <w:b/>
          <w:szCs w:val="24"/>
        </w:rPr>
        <w:t>Об утверждении учетной политики администрации Гостовского сельского поселения Шабалинского района Кировской области</w:t>
      </w:r>
    </w:p>
    <w:p w:rsidR="00AF5A46" w:rsidRPr="004017DC" w:rsidRDefault="00AF5A46" w:rsidP="00AF5A46">
      <w:pPr>
        <w:jc w:val="center"/>
        <w:rPr>
          <w:b/>
        </w:rPr>
      </w:pP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0064D">
        <w:rPr>
          <w:rFonts w:ascii="Times New Roman" w:hAnsi="Times New Roman" w:cs="Times New Roman"/>
          <w:sz w:val="24"/>
          <w:szCs w:val="24"/>
        </w:rPr>
        <w:t>В соответствии со статьей 8 Федерального закона от 06.12.2011 №402-ФЗ «О бухгалтерском учете», Налоговым Кодексом РФ и приказом Минфина от 1 декабря 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0064D">
        <w:rPr>
          <w:rFonts w:ascii="Times New Roman" w:hAnsi="Times New Roman" w:cs="Times New Roman"/>
          <w:sz w:val="24"/>
          <w:szCs w:val="24"/>
        </w:rPr>
        <w:t xml:space="preserve"> с  последующими изменениями) (далее по тексту –Инструкция 157н)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AF5A46" w:rsidRPr="00C0064D" w:rsidRDefault="00AF5A46" w:rsidP="00AF5A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 с 1 января 2015 года и во все последующие  периоды с внесением в  установленном порядке необходимых изменений и дополнений  Положение об учетной политике администрации Гостовского сельского поселения Шабалинского района Кировской области. Приложение №1</w:t>
      </w:r>
    </w:p>
    <w:p w:rsidR="00AF5A46" w:rsidRPr="00C0064D" w:rsidRDefault="00AF5A46" w:rsidP="00AF5A4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рабочий план счетов бюджетного учета. Приложение №2.</w:t>
      </w:r>
    </w:p>
    <w:p w:rsidR="00AF5A46" w:rsidRPr="00C0064D" w:rsidRDefault="00AF5A46" w:rsidP="00AF5A4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методы оценки отдельных видов имущества и обязательств. Приложение №3.</w:t>
      </w:r>
    </w:p>
    <w:p w:rsidR="00AF5A46" w:rsidRPr="00C0064D" w:rsidRDefault="00AF5A46" w:rsidP="00AF5A4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порядок проведения инвентаризации имущества и обязательств. Приложение №4.</w:t>
      </w:r>
    </w:p>
    <w:p w:rsidR="00AF5A46" w:rsidRPr="00C0064D" w:rsidRDefault="00AF5A46" w:rsidP="00AF5A4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график документооборота первичных учетных документов. Приложение №5.</w:t>
      </w:r>
    </w:p>
    <w:p w:rsidR="00AF5A46" w:rsidRPr="00C0064D" w:rsidRDefault="00AF5A46" w:rsidP="00AF5A4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порядок отражения в учете событий после отчетной даты. Приложение №6.</w:t>
      </w:r>
    </w:p>
    <w:p w:rsidR="00AF5A46" w:rsidRPr="00C0064D" w:rsidRDefault="00AF5A46" w:rsidP="00AF5A4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порядок организации и обеспечения внутреннего финансового контроля. Приложение №7.</w:t>
      </w:r>
    </w:p>
    <w:p w:rsidR="00AF5A46" w:rsidRPr="00C0064D" w:rsidRDefault="00AF5A46" w:rsidP="00AF5A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состав постоянно действующей инвентаризационной комиссии.   Приложение №8.</w:t>
      </w:r>
    </w:p>
    <w:p w:rsidR="00AF5A46" w:rsidRDefault="00AF5A46" w:rsidP="00AF5A4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список материально- ответственных лиц. Приложение №9.</w:t>
      </w:r>
    </w:p>
    <w:p w:rsidR="00AF5A46" w:rsidRPr="00C0064D" w:rsidRDefault="00AF5A46" w:rsidP="00AF5A46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Pr="00C0064D" w:rsidRDefault="00AF5A46" w:rsidP="00AF5A46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10.Утвердить порядок формирования регистров бюджетного учета, первичных документов. Приложение №10.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11.Утвердить периодичность формирования на бумажных носителях регистров бюджетного учета в условиях комплексной автоматизации бюджетного учета. Приложение №11.</w:t>
      </w:r>
    </w:p>
    <w:p w:rsidR="00AF5A46" w:rsidRPr="00C0064D" w:rsidRDefault="00AF5A46" w:rsidP="00AF5A46">
      <w:pPr>
        <w:pStyle w:val="2"/>
        <w:spacing w:line="240" w:lineRule="auto"/>
        <w:jc w:val="both"/>
      </w:pPr>
      <w:r w:rsidRPr="00C0064D">
        <w:lastRenderedPageBreak/>
        <w:t>12.Утвердить перечень бланков строгой отчетности и правила их учета. Приложение №12.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13.Утвердить список лиц, ответственных за ведение кассовых операций. Приложение № 13.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14.Утвердить список лиц, имеющих право на получение денежных средств и  денежных документов  под отчет для хозяйственных и текущих нужд. Приложение №14.</w:t>
      </w:r>
    </w:p>
    <w:p w:rsidR="00AF5A46" w:rsidRPr="00C0064D" w:rsidRDefault="00AF5A46" w:rsidP="00AF5A46">
      <w:pPr>
        <w:pStyle w:val="ConsPlusTitle"/>
        <w:widowControl/>
        <w:jc w:val="both"/>
        <w:rPr>
          <w:b w:val="0"/>
          <w:sz w:val="24"/>
          <w:szCs w:val="24"/>
        </w:rPr>
      </w:pPr>
      <w:r w:rsidRPr="00C0064D">
        <w:rPr>
          <w:b w:val="0"/>
          <w:sz w:val="24"/>
          <w:szCs w:val="24"/>
        </w:rPr>
        <w:t>15.Утвердить порядок выдачи  денежных средств и денежных документов под отчет и оформлению отчетов по их использованию. Приложение №15.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64D">
        <w:rPr>
          <w:rFonts w:ascii="Times New Roman" w:hAnsi="Times New Roman" w:cs="Times New Roman"/>
          <w:color w:val="000000"/>
          <w:sz w:val="24"/>
          <w:szCs w:val="24"/>
        </w:rPr>
        <w:t>16.Утвердить формы документов бюджетного учета, по которым законодательством РФ не установлены  типовые формы. Приложение №16.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64D">
        <w:rPr>
          <w:rFonts w:ascii="Times New Roman" w:hAnsi="Times New Roman" w:cs="Times New Roman"/>
          <w:color w:val="000000"/>
          <w:sz w:val="24"/>
          <w:szCs w:val="24"/>
        </w:rPr>
        <w:t>17.Утвердить перечень лиц, имеющих право подписи первичных учетных документов. Приложение №17.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64D">
        <w:rPr>
          <w:rFonts w:ascii="Times New Roman" w:hAnsi="Times New Roman" w:cs="Times New Roman"/>
          <w:color w:val="000000"/>
          <w:sz w:val="24"/>
          <w:szCs w:val="24"/>
        </w:rPr>
        <w:t>18.</w:t>
      </w:r>
      <w:proofErr w:type="gramStart"/>
      <w:r w:rsidRPr="00C0064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0064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распоряжения возложить на специалиста 1 категории, главного бухгалтера </w:t>
      </w:r>
      <w:proofErr w:type="spellStart"/>
      <w:r w:rsidRPr="00C0064D">
        <w:rPr>
          <w:rFonts w:ascii="Times New Roman" w:hAnsi="Times New Roman" w:cs="Times New Roman"/>
          <w:color w:val="000000"/>
          <w:sz w:val="24"/>
          <w:szCs w:val="24"/>
        </w:rPr>
        <w:t>Вахтыкову</w:t>
      </w:r>
      <w:proofErr w:type="spellEnd"/>
      <w:r w:rsidRPr="00C0064D"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87"/>
        <w:gridCol w:w="788"/>
        <w:gridCol w:w="788"/>
        <w:gridCol w:w="787"/>
        <w:gridCol w:w="787"/>
        <w:gridCol w:w="1058"/>
        <w:gridCol w:w="516"/>
        <w:gridCol w:w="704"/>
        <w:gridCol w:w="787"/>
        <w:gridCol w:w="909"/>
        <w:gridCol w:w="789"/>
      </w:tblGrid>
      <w:tr w:rsidR="00AF5A46" w:rsidRPr="00C0064D" w:rsidTr="00C0423A">
        <w:trPr>
          <w:trHeight w:val="192"/>
        </w:trPr>
        <w:tc>
          <w:tcPr>
            <w:tcW w:w="787" w:type="dxa"/>
          </w:tcPr>
          <w:p w:rsidR="00AF5A46" w:rsidRPr="00C0064D" w:rsidRDefault="00AF5A46" w:rsidP="00C0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AF5A46" w:rsidRPr="00C0064D" w:rsidRDefault="00AF5A46" w:rsidP="00C0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AF5A46" w:rsidRPr="00C0064D" w:rsidRDefault="00AF5A46" w:rsidP="00C0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AF5A46" w:rsidRPr="00C0064D" w:rsidRDefault="00AF5A46" w:rsidP="00C0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AF5A46" w:rsidRPr="00C0064D" w:rsidRDefault="00AF5A46" w:rsidP="00C0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AF5A46" w:rsidRPr="00C0064D" w:rsidRDefault="00AF5A46" w:rsidP="00C0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AF5A46" w:rsidRPr="00C0064D" w:rsidRDefault="00AF5A46" w:rsidP="00C0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AF5A46" w:rsidRPr="00C0064D" w:rsidRDefault="00AF5A46" w:rsidP="00C0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AF5A46" w:rsidRPr="00C0064D" w:rsidRDefault="00AF5A46" w:rsidP="00C0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AF5A46" w:rsidRPr="00C0064D" w:rsidRDefault="00AF5A46" w:rsidP="00C0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AF5A46" w:rsidRPr="00C0064D" w:rsidRDefault="00AF5A46" w:rsidP="00C0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5A46" w:rsidRPr="00C0064D" w:rsidRDefault="00AF5A46" w:rsidP="00AF5A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64D">
        <w:rPr>
          <w:rFonts w:ascii="Times New Roman" w:hAnsi="Times New Roman" w:cs="Times New Roman"/>
          <w:sz w:val="24"/>
          <w:szCs w:val="24"/>
        </w:rPr>
        <w:t>19.Настоящие распоряжение распространяется на правоотношения, возникшие с 1 января 2015 года.</w:t>
      </w:r>
      <w:proofErr w:type="gramEnd"/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20.Считать утратившими силу распоряжение администрации Гостовского сельского поселения Шабалинского района Кировской области: от 24 апреля 2013 года № 19 «Об учетной политике администрации Гостовского сельского поселения Шабалинского района Кировской области». </w:t>
      </w:r>
    </w:p>
    <w:p w:rsidR="00AF5A46" w:rsidRPr="00C0064D" w:rsidRDefault="00AF5A46" w:rsidP="00AF5A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Л.А.Сивкова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                                                          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Ознакомлены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Pr="00C0064D" w:rsidRDefault="00AF5A46" w:rsidP="00AF5A46">
      <w:pPr>
        <w:ind w:left="5954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Приложение №1                                               к распоряжению администрации Гостовского сельского поселения Шабалинского района Кировской области «Об учетной политике администрации Гостовского сельского поселения Шабалинского района Кировской области»</w:t>
      </w:r>
    </w:p>
    <w:p w:rsidR="00AF5A46" w:rsidRPr="00C0064D" w:rsidRDefault="00AF5A46" w:rsidP="00AF5A46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Pr="00C0064D" w:rsidRDefault="00AF5A46" w:rsidP="00AF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5A46" w:rsidRPr="00C0064D" w:rsidRDefault="00AF5A46" w:rsidP="00AF5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b/>
          <w:sz w:val="24"/>
          <w:szCs w:val="24"/>
        </w:rPr>
        <w:t>об учетной политике администрации Гостовского сельского поселения Шабалинского района Кировской области</w:t>
      </w:r>
    </w:p>
    <w:p w:rsidR="00AF5A46" w:rsidRPr="00C0064D" w:rsidRDefault="00AF5A46" w:rsidP="00AF5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A46" w:rsidRPr="004017DC" w:rsidRDefault="00AF5A46" w:rsidP="00AF5A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5A46" w:rsidRPr="004017DC" w:rsidRDefault="00AF5A46" w:rsidP="00AF5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1. Организация бухгалтерского учета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1.1. Бухгалтерский учет учреждения осуществляется в соответствии с Приказами Минфина России от 01.12.2010 </w:t>
      </w:r>
      <w:hyperlink r:id="rId5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№157н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 государственных (муниципальных) учреждений и Инструкции по его применению» (с  изменениями)  (далее по тексту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риказ МФ РФ от 01.12.2010 №157н), от 06.12.2010 </w:t>
      </w:r>
      <w:hyperlink r:id="rId6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№ 162н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«Об утверждении Плана счетов бюджетного учета и Инструкции по его применению» (с изменениями) (далее по текст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 Приказ МФ РФ от 06.12.2010 №162)  и иными законами и нормативными актами РФ, субъекта РФ, предназначенными для формирования полной и достоверной информации о финансовом, имущественном положении и финансовых результатах деятельности администрации Гостовского сельского поселения Шабалинского района Кировской области (далее по тексту- администрация поселения).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Бухгалтерский учет в администрации Гостовского сельского поселения осуществляет  специалист 1 категории, главный бухгалтер.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Право подписи денежных и расчетных  документов предоставлено: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-первая подпись: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Глава администрации Гостовского сельского поселения Сивкова Людмила Анатольевна;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Заместитель главы администрации Гостовского сельского поселения Филиппова Лариса Юрьевна;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-вторая подпись: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Специалист 1 категории, главный бухгалтер администрации Гостовского сельского поселения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Вахтыкова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Александра Викторовна;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1.2. В учреждении применяются следующие коды вида финансового обеспечения (деятельности):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- 1 - деятельность, осуществляемая за счет средств местного бюджета бюджетной </w:t>
      </w:r>
      <w:r w:rsidRPr="004017DC">
        <w:rPr>
          <w:rFonts w:ascii="Times New Roman" w:hAnsi="Times New Roman" w:cs="Times New Roman"/>
          <w:sz w:val="24"/>
          <w:szCs w:val="24"/>
        </w:rPr>
        <w:lastRenderedPageBreak/>
        <w:t>системы РФ (бюджетная деятельность);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-3- средства во временном распоряжении.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1.3. Рабочий план счетов бюджетного учета Приложение № 2 разработан в соответствии с </w:t>
      </w:r>
      <w:hyperlink r:id="rId7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Планом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счетов бюджетного учета.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1.4.Обработка учетной информации осуществляется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автоматизированно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>, с применением программного продукта  «Смета КС».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1.5.Применяются унифицированные формы документов, утвержденные </w:t>
      </w:r>
      <w:hyperlink r:id="rId8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Минфина России от 15.12.2010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(с изменениями) (далее по текст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 Приказ МФ РФ №173н от 15.12.2010).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Для оформления финансово-хозяйственных операций, по которым не предусмотрены типовые формы первичных учетных документов, формы разрабатываются учреждением самостоятельно. 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1.6. Данные проверенных и принятых к учету первичных учетных документов систематизируются в хронологическом порядке (по датам совершения операций) и группируются по соответствующим счетам бюджетного учета накопительным способом с отражением в следующих регистрах бухгалтерского учета: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№1 операций по счету "Касса";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№2 операций с безналичными денежными средствами;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№3 операций расчетов с подотчетными лицами;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№4 операций расчетов с поставщиками и подрядчиками;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 №5 операций расчетов с дебиторами по доходам;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№6  операций расчетов по оплате труда;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№7 операций по выбытию и перемещению нефинансовых активов;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№8 по прочим операциям;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 Журнал №9 по санкционированию;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Журнал  №3Б по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забалансовым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счетам;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 Главная книга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1.7. В целях обеспечения сохранности нефинансовых активов, ответственность за их движением возлагается на материально-ответственных лиц. Приложение № 9.  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Инвентаризация имущества и обязатель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оводится в соответствии с положениями </w:t>
      </w:r>
      <w:hyperlink r:id="rId17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Минфина России от 13.06.1995 № 49 «Об утверждении Методических указаний по инвентаризации имущества и финансовых обязательств» (с изменениями). 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Порядок и срок сдачи бюджетной отчетности устанавливаются в соответствии с </w:t>
      </w:r>
      <w:hyperlink r:id="rId18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 изменениями).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1.8. Документооборот и технология  обработки  учетной информации регламентируются графиком документооборота  первичных учетных документов.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График документооборота  разрабатывается под руководством специалист 1 категории, главного бухгалтера администрации Гостовского сельского поселения и утверждается руководителем. 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7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 соблюдением графика документооборота  осуществляет специалист 1 категории, главный бухгалтер администрации Гостовского сельского поселения. 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       1.9. В целях определения целесообразности расходов в администрации Гостовского сельского поселения осуществляется внутренний финансовый 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64D">
        <w:rPr>
          <w:rFonts w:ascii="Times New Roman" w:hAnsi="Times New Roman" w:cs="Times New Roman"/>
          <w:sz w:val="24"/>
          <w:szCs w:val="24"/>
        </w:rPr>
        <w:t xml:space="preserve"> расходованием бюджетных средств. 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lastRenderedPageBreak/>
        <w:t xml:space="preserve"> 1.10.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 выполнением и отражением денежных средств, имущества и обязательств в бухгалтерском учете должны осуществлять все специалисты администрации Гостовского сельского поселения.</w:t>
      </w:r>
    </w:p>
    <w:p w:rsidR="00AF5A46" w:rsidRPr="004017DC" w:rsidRDefault="00AF5A46" w:rsidP="00AF5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2. Ведение бухгалтерского учета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2.1. Учет основных средств. В качестве основных сре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>инимаются к учету материальные объекты имущества независимо от их стоимости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работ, оказании услуг, для осуществления государственных полномочий (функций) либо управленческих нужд учреждения.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К основным средствам не относятся предметы, служащие менее 12 месяцев, независимо от их стоимости, материальные объекты имущества, относящиеся к материальным запасам.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Сроком полезного использования объекта основных средств является период, в течение которого предусматривается использование в процессе деятельности учреждения объекта нефинансовых активов в тех целях, ради которых он был приобретен или получен. 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>: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информации, содержащейся в законодательстве РФ, устанавливающем сроки полезного использования имущества в целях начисления амортизации.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 xml:space="preserve">По объектам основных средств, включенным согласно Постановлению Правительства РФ от 01.01.2002 № 1 «О классификации основных средств, включаемых в амортизационные группы» в амортизационные группы с </w:t>
      </w:r>
      <w:hyperlink r:id="rId19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первой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20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девятую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, срок полезного использования определяется по наибольшему сроку, установленному для указанных амортизационных групп, в </w:t>
      </w:r>
      <w:hyperlink r:id="rId21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десятую амортизационную группу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- исходя из Единых </w:t>
      </w:r>
      <w:hyperlink r:id="rId22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норм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амортизационных отчислений на полное восстановление основных фондов народного хозяйства СССР, утвержденных Постановлением Совета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 Министров СССР от 22.10.1990 № 1072;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 рекомендаций, содержащихся в документах производителя, входящих в комплектацию объекта имущества, при отсутствии в законодательстве РФ норм, устанавливающих сроки полезного использования имущества в целях начисления амортизации, в случаях отсутствия информации в законодательстве РФ и в документах производителя - на основании решения комиссии учреждения по поступлению и выбытию активов.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t xml:space="preserve">     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>При формировании инвентарных номеров, присваиваемых основным средствам (за исключением объектов стоимостью до 3000 руб.), применяется следующая методика: с 1-го по 3-й символ - номер счета синтетического учета, определяющий групповую принадлежность, с 4-го по 5-й символ – код аналитического учета, с 6-го по 10-й символ - индивидуальный порядковый  номер, присвоенный основному средству.</w:t>
      </w:r>
      <w:proofErr w:type="gramEnd"/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      Инвентарные номера, присвоенные объектам основных средств до 2011 года, оставить прежними.  Инвентарные номера наносятся на объект краской и иными способами.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пересматривается по решению комиссии по поступлению и выбытию активов.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Амортизация основных средств осуществляется линейным способом.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По основным средствам, бывшим в употреблении, поступившим от прочих юридических и физических лиц, установить срок полезного использования с учетом </w:t>
      </w:r>
      <w:r w:rsidRPr="004017DC">
        <w:rPr>
          <w:rFonts w:ascii="Times New Roman" w:hAnsi="Times New Roman" w:cs="Times New Roman"/>
          <w:sz w:val="24"/>
          <w:szCs w:val="24"/>
        </w:rPr>
        <w:lastRenderedPageBreak/>
        <w:t>количества лет (месяцев) эксплуатации данного объекта.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2.2. Учет материальных запасов. К материальным запасам относятся: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 предметы, используемые в деятельности учреждения в течение периода, не превышающего 12 месяцев, независимо от их стоимости;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7DC">
        <w:rPr>
          <w:rFonts w:ascii="Times New Roman" w:hAnsi="Times New Roman" w:cs="Times New Roman"/>
          <w:sz w:val="24"/>
          <w:szCs w:val="24"/>
        </w:rPr>
        <w:t xml:space="preserve">- иные материальные ценности независимо от их стоимости и срока службы:  дыроколы,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степлеры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, подставки для бумаг, цветочные горшки, канцелярские наборы,  сетевые фильтры, подставки под календари,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мусорницы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, графины, нож, ножницы, канцелярские папки, канцелярские принадлежности, молотки, отвертки, инструменты, штампы, диски, дискеты, портативные дисководы, плечики, ведра, лопаты, лупы, оснастка печати, оснастка штампа, клише печати, клише штампа,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карты и др.</w:t>
      </w:r>
      <w:proofErr w:type="gramEnd"/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Единицей материальных запасов является номенклатурный номер.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Материальные запасы принимаются к учету по фактической стоимости.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Фактическая стоимость материальных запасов, остающихся у учреждения в результате разборки, утилизации основных средств или иного имущества, определяется исходя из их текущей рыночной стоимости на дату принятия к бухгалтерскому учету, а также сумм, уплачиваемых учреждением за доставку материальных запасов и приведение их в состояние, пригодное для использования.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Выбытие, списание материальных запасов осуществляется по  средней фактической стоимости.</w:t>
      </w:r>
    </w:p>
    <w:p w:rsidR="00AF5A46" w:rsidRPr="004017DC" w:rsidRDefault="00AF5A46" w:rsidP="00AF5A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2.3. Учет 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счетах. Учет  основных средств стоимостью менее 3000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 включительно, списанных с баланса и переданных в эксплуатацию,  осуществляется 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счете 21 «Основные средства, стоимостью до 3000 рублей включительно, в эксплуатации».        Принятие к учету  объектов основных средств, стоимостью до 3000 рублей производить  на основании первичного документа, подтверждающего  ввод в эксплуатацию по балансовой стоимости введенного в эксплуатацию объекта.  </w:t>
      </w:r>
    </w:p>
    <w:p w:rsidR="00AF5A46" w:rsidRPr="004017DC" w:rsidRDefault="00AF5A46" w:rsidP="00AF5A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 Выбытие  объектов основных сре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 xml:space="preserve">дств с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>балансового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счета, в том числе в связи с выявлением порчи, хищений, недостачи и (или) принятия  решения об их списании (уничтожении),  производится на основании Акта о списании объекта основных средств (кроме автотранспортных средств) ф.0306003.</w:t>
      </w:r>
    </w:p>
    <w:p w:rsidR="00AF5A46" w:rsidRPr="004017DC" w:rsidRDefault="00AF5A46" w:rsidP="00AF5A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Передача введенных в эксплуатацию объектов основных сре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езвозмездное пользование производится на основании Акта приема- передачи  групп объектов основных средств (кроме зданий и сооружений) ф.0306031. </w:t>
      </w:r>
    </w:p>
    <w:p w:rsidR="00AF5A46" w:rsidRPr="004017DC" w:rsidRDefault="00AF5A46" w:rsidP="00AF5A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Внутреннее  перемещение основных средств, числящихся 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счетах, осуществлять по  Требованию - накладной (ф.0315006).</w:t>
      </w:r>
    </w:p>
    <w:p w:rsidR="00AF5A46" w:rsidRPr="004017DC" w:rsidRDefault="00AF5A46" w:rsidP="00AF5A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Аналитический учет по счету 21 «Основные средства, стоимостью до 3000 рублей включительно, в эксплуатации» ведется  по количеству и сумме в разрезе материально- ответственных лиц в карточках количественно-суммового учета  материальных ценностей  ф.0504041.  Основным средствам  стоимостью до 3000 рублей,  учитываемым 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счете 1.21 ,  присваивается  порядковый номенклатурный номер.</w:t>
      </w:r>
    </w:p>
    <w:p w:rsidR="00AF5A46" w:rsidRPr="004017DC" w:rsidRDefault="00AF5A46" w:rsidP="00AF5A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Списание и передача  имущества, числящегося 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счете  1.21 «Основные средства, стоимостью до 3000 рублей включительно, в эксплуатации» производится без согласования  с вышестоящей  организацией (поселения), собственника.</w:t>
      </w:r>
    </w:p>
    <w:p w:rsidR="00AF5A46" w:rsidRPr="004017DC" w:rsidRDefault="00AF5A46" w:rsidP="00AF5A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 Учет программных средств, на которые у  учреждения нет исключительных прав  на их использование, ведется на 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счете 01 «Имущество, полученное в пользование» по стоимости, определяемой исходя из размера вознаграждения, установленного в договоре.</w:t>
      </w:r>
    </w:p>
    <w:p w:rsidR="00AF5A46" w:rsidRPr="004017DC" w:rsidRDefault="00AF5A46" w:rsidP="00AF5A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  Аналитический учет ведется по количеству и сумме в разрезе материально- ответственных лиц в Карточках количественно- суммового учета материальных ценностей ф.05034041. Списание программных сре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оизводить по Акту на списание материальных запасов ф.0504230. </w:t>
      </w:r>
    </w:p>
    <w:p w:rsidR="00AF5A46" w:rsidRPr="004017DC" w:rsidRDefault="00AF5A46" w:rsidP="00AF5A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lastRenderedPageBreak/>
        <w:t xml:space="preserve">      Внутреннее  перемещение программных средств, числящихся 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счетах, осуществляется по  Требованию - накладной (ф.0315006).</w:t>
      </w:r>
    </w:p>
    <w:p w:rsidR="00AF5A46" w:rsidRPr="004017DC" w:rsidRDefault="00AF5A46" w:rsidP="00AF5A4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забалансовм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счете 03 «Бланки строгой отчетности» учитывать бланки строгой отчетности</w:t>
      </w:r>
    </w:p>
    <w:p w:rsidR="00AF5A46" w:rsidRPr="004017DC" w:rsidRDefault="00AF5A46" w:rsidP="00AF5A4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Выбытие  бланков строгой отчетности при их оформлении (выдаче) передаче иному юридическому лицу, ответственному за их оформление (выдачу), а также  в связи с выявлением порчи, хищений, недостачи и (или) принятия  решения об их списании (уничтожении),  производить на основании Акта о списании материальных запасов  ф.0504230 по средней фактической стоимости.</w:t>
      </w:r>
    </w:p>
    <w:p w:rsidR="00AF5A46" w:rsidRPr="004017DC" w:rsidRDefault="00AF5A46" w:rsidP="00AF5A4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счете 09 «Запасные части к транспортным средствам, выданным взамен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изношенных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>» учитывать: двигатели, аккумуляторы, шины, покрышки, диски, выданные взамен изношенных.</w:t>
      </w:r>
    </w:p>
    <w:p w:rsidR="00AF5A46" w:rsidRPr="004017DC" w:rsidRDefault="00AF5A46" w:rsidP="00AF5A46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2.4. Возврат денежных документов, выданных в подотчет, в кассу производится в последний  рабочий день декабря.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2.5. Учет расчетов по принятым обязательствам.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Дебиторскую и кредиторскую задолженность с истекшими сроками исковой давности, нереальную (безнадежную) для взыскания (задолженность, по которой истек установленный срок исковой давности, а также другие долги, по которым в соответствии с гражданским законодательством обязательства прекращены вследствие невозможности их исполнения), списывают по каждому обязательству отдельно на основании акта государственного органа или документа о ликвидации организации, данных проведенной инвентаризации и приказа учреждения.</w:t>
      </w:r>
      <w:proofErr w:type="gramEnd"/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пропуске сроков исковой давности, привлекаются к ответственности (включая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материальную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) в соответствии с действующим законодательством. Срок исковой давности определяется </w:t>
      </w:r>
      <w:hyperlink r:id="rId23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ст. ст. 195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208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ГК РФ.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2.6. Учет вложений в нефинансовые активы. Фактические затраты на основные средства и материальные запасы при их приобретении, модернизации, реконструкции, достройке, дооборудовании, которые впоследствии будут приняты к учету, отражаются на счетах: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- 0 106 11 000 «Вложения в основные средства - недвижимое имущество учреждения»;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-0 106 31 000 «Вложения в основные средства - иное движимое имущество учреждения»;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- 0 106 34 000 «Вложения в материальные запасы - иное движимое имущество учреждения».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t xml:space="preserve">          </w:t>
      </w:r>
      <w:r w:rsidRPr="00C0064D">
        <w:rPr>
          <w:rFonts w:ascii="Times New Roman" w:hAnsi="Times New Roman" w:cs="Times New Roman"/>
          <w:sz w:val="24"/>
          <w:szCs w:val="24"/>
        </w:rPr>
        <w:t>2.7.Учет санкционирования расходов бюджета осуществляется в соответствии с Приказом МФ РФ от 01.12.2010 №157н,  Приказом МФ РФ от 06.12.2010 № 162н. Операции по принятию бюджетных обязательств отражаются по договорам, контрактам, счетам, счетам-фактурам, расчетно-платежным ведомостям, накладным, авансовым отчетам, товарным чекам, регистрам налогового учета, учета начисленных страховых взносов, уведомлениям по предоставлению межбюджетных трансфертов в текущем финансовом году поселениям и иным документам, подтверждающим возникновение бюджетных обязательств. Операции по принятию денежных обязательств отражаются по счетам, счетам-фактурам, накладным, товарным чекам, по авансовым отчетам, расчетно-платежным ведомостям, регистрам налогового учета и учета начисленных страховых взносов, иным документам, подтверждающих возникновение денежных обязательств.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     По завершении текущего финансового года показатели (остатки) по соответствующим аналитическим счетам учета бюджетных ассигнований, лимитов бюджетных обязательств и утвержденных сметных (плановых, прогнозных) назначений по доходам </w:t>
      </w:r>
      <w:r w:rsidRPr="00C0064D">
        <w:rPr>
          <w:rFonts w:ascii="Times New Roman" w:hAnsi="Times New Roman" w:cs="Times New Roman"/>
          <w:sz w:val="24"/>
          <w:szCs w:val="24"/>
        </w:rPr>
        <w:lastRenderedPageBreak/>
        <w:t>(поступлениям), расходам (выплатам) текущего финансового года на следующий год не переносятся.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     Показатели (остатки) по соответствующим счетам санкционирования расходов, сформированные в отчетном финансовом году за первый, и второй 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>годы, следующие за текущим финансовым годом обнуляются</w:t>
      </w:r>
      <w:proofErr w:type="gramEnd"/>
      <w:r w:rsidRPr="00C0064D">
        <w:rPr>
          <w:rFonts w:ascii="Times New Roman" w:hAnsi="Times New Roman" w:cs="Times New Roman"/>
          <w:sz w:val="24"/>
          <w:szCs w:val="24"/>
        </w:rPr>
        <w:t xml:space="preserve"> и не переносятся на соответствующие финансовые годы.</w:t>
      </w:r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>Операции по санкционированию на соответствующих аналитических счетах на текущий (очередной, первый год, следующий за очередным, второй год, следующий за очередным), производятся ежегодно на основании доведенных финансовым органом ассигнований, лимитов и прогнозных показателей по доходам в соответствии с законом (решением) о бюджете на очередной финансовый год и соответствующие плановые периоды.</w:t>
      </w:r>
      <w:proofErr w:type="gramEnd"/>
    </w:p>
    <w:p w:rsidR="00AF5A46" w:rsidRPr="00C0064D" w:rsidRDefault="00AF5A46" w:rsidP="00AF5A46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   2.8. 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>Аналитический учет по счетам 1 205 00 000 «Расчеты по доходам», 1 206 00 000 «Расчеты по выданным авансам», 1 208 00 000 «Расчеты с подотчетными лицами», 1 302 00 000 «Расчеты по приятым обязательствам», 1 303 00 000 «Расчеты по платежам в бюджет» ведется в Карточке учета средств и расчетов.</w:t>
      </w:r>
      <w:proofErr w:type="gramEnd"/>
    </w:p>
    <w:p w:rsidR="00AF5A46" w:rsidRPr="004017DC" w:rsidRDefault="00AF5A46" w:rsidP="00AF5A46">
      <w:pPr>
        <w:ind w:left="360"/>
        <w:jc w:val="both"/>
      </w:pP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               3. Ведение кассовых операций.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3.1.Ведение кассовых операций осуществлять в соответствии с указаниями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зарегистрированного в Минюсте РФ 23 мая 2014 г. № 32404 (с изменениями).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3.2.Список лиц, ответственных за ведение кассовых операций определен в приложении №13.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Pr="004017DC" w:rsidRDefault="00AF5A46" w:rsidP="00AF5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4. Учетная политика для целей налогообложения.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4.1. Налоговый учет ведется в соответствии с Налоговым </w:t>
      </w:r>
      <w:hyperlink r:id="rId25" w:history="1">
        <w:r w:rsidRPr="004017D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(НК РФ) и иными нормативными правовыми актами Российской Федерации по вопросам налогообложения.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4.2. Основными задачами налогового учета являются: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-формирование полной и достоверной информации для определения налоговой базы;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-обеспечение своевременного представления налоговых деклараций и другой информации в налоговые органы.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4.3 Налоговый учет осуществляет специалист 1 категории, главный бухгалтер.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4.4. Для подтверждения данных налогового учета применяются первичные документы, регистры бухгалтерского учета и бухгалтерские справки, оформленные Налоговый учет ведется с применением регистров бухгалтерского учета, утвержденных  Приказом МФ РФ №173н от 15.12.2010.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4.6.Учет сумм начисленных выплат и иных вознаграждений, выплаченных физическим лицам, а также сумм страховых взносов в Пенсионный фонд России, сумм в ТФОМС и социального страхования, относящихся к ним, по каждому физическому лицу, в пользу которого осуществлялись выплаты. Ведется в индивидуальных карточках по форме, утвержденной Министерством по налогам и сборам РФ.</w:t>
      </w:r>
    </w:p>
    <w:p w:rsidR="00AF5A46" w:rsidRPr="004017DC" w:rsidRDefault="00AF5A46" w:rsidP="00AF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7D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 за ведение карточек формы №1-НДФЛ и карточек индивидуального учета сумм начисленных выплат и иных вознаграждений и сумм начисленных страховых </w:t>
      </w:r>
      <w:r w:rsidRPr="004017DC">
        <w:rPr>
          <w:rFonts w:ascii="Times New Roman" w:hAnsi="Times New Roman" w:cs="Times New Roman"/>
          <w:sz w:val="24"/>
          <w:szCs w:val="24"/>
        </w:rPr>
        <w:lastRenderedPageBreak/>
        <w:t xml:space="preserve">взносов назначить специалиста 1 категории, главного бухгалтер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Вахтыкову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Александру Викторовну. </w:t>
      </w:r>
    </w:p>
    <w:p w:rsidR="00AF5A46" w:rsidRPr="004017DC" w:rsidRDefault="00AF5A46" w:rsidP="00AF5A46">
      <w:pPr>
        <w:jc w:val="both"/>
      </w:pPr>
      <w:r w:rsidRPr="004017DC">
        <w:t xml:space="preserve">    </w:t>
      </w:r>
    </w:p>
    <w:p w:rsidR="00AF5A46" w:rsidRPr="004017DC" w:rsidRDefault="00AF5A46" w:rsidP="00AF5A46">
      <w:pPr>
        <w:ind w:left="360"/>
        <w:jc w:val="both"/>
      </w:pPr>
    </w:p>
    <w:p w:rsidR="00AF5A46" w:rsidRPr="004017DC" w:rsidRDefault="00AF5A46" w:rsidP="00AF5A46">
      <w:pPr>
        <w:ind w:left="360"/>
        <w:jc w:val="both"/>
      </w:pPr>
      <w:r w:rsidRPr="004017DC">
        <w:t xml:space="preserve">         </w:t>
      </w:r>
    </w:p>
    <w:p w:rsidR="00AF5A46" w:rsidRPr="00C0064D" w:rsidRDefault="00AF5A46" w:rsidP="00AF5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5. Изменение учетной политики.</w:t>
      </w:r>
    </w:p>
    <w:p w:rsidR="00AF5A46" w:rsidRPr="00C0064D" w:rsidRDefault="00AF5A46" w:rsidP="00AF5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F5A46" w:rsidRPr="00C0064D" w:rsidRDefault="00AF5A46" w:rsidP="00AF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      Учетная политика администрации Гостовского сельского поселения Шабалинского района применяется с момента ее утверждения последовательно из года в год. Изменение учетной политики производится при следующих условиях:</w:t>
      </w:r>
    </w:p>
    <w:p w:rsidR="00AF5A46" w:rsidRPr="00C0064D" w:rsidRDefault="00AF5A46" w:rsidP="00AF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-  в случае изменения требований, установленных законодательством  Российской Федерации и о бухгалтерском учете, федеральными и (или) отраслевыми стандартами;</w:t>
      </w:r>
    </w:p>
    <w:p w:rsidR="00AF5A46" w:rsidRPr="00C0064D" w:rsidRDefault="00AF5A46" w:rsidP="00AF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- 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</w:t>
      </w:r>
    </w:p>
    <w:p w:rsidR="00AF5A46" w:rsidRPr="00C0064D" w:rsidRDefault="00AF5A46" w:rsidP="00AF5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>существенном</w:t>
      </w:r>
      <w:proofErr w:type="gramEnd"/>
      <w:r w:rsidRPr="00C0064D">
        <w:rPr>
          <w:rFonts w:ascii="Times New Roman" w:hAnsi="Times New Roman" w:cs="Times New Roman"/>
          <w:sz w:val="24"/>
          <w:szCs w:val="24"/>
        </w:rPr>
        <w:t xml:space="preserve"> изменении условий деятельности экономического субъекта.</w:t>
      </w:r>
    </w:p>
    <w:p w:rsidR="00AF5A46" w:rsidRPr="00C0064D" w:rsidRDefault="00AF5A46" w:rsidP="00AF5A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F5A46" w:rsidRPr="00C0064D" w:rsidRDefault="00AF5A46" w:rsidP="00AF5A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F5A46" w:rsidRDefault="00AF5A46" w:rsidP="00AF5A46">
      <w:pPr>
        <w:rPr>
          <w:color w:val="000000"/>
          <w:sz w:val="28"/>
          <w:szCs w:val="28"/>
        </w:rPr>
      </w:pPr>
    </w:p>
    <w:p w:rsidR="00AF5A46" w:rsidRDefault="00AF5A46" w:rsidP="00AF5A46"/>
    <w:p w:rsidR="00000000" w:rsidRDefault="00AF5A46"/>
    <w:sectPr w:rsidR="00000000" w:rsidSect="004A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2FF"/>
    <w:multiLevelType w:val="multilevel"/>
    <w:tmpl w:val="FEB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5A46"/>
    <w:rsid w:val="00A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A4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A4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AF5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AF5A46"/>
    <w:rPr>
      <w:color w:val="0000FF"/>
      <w:u w:val="single"/>
    </w:rPr>
  </w:style>
  <w:style w:type="paragraph" w:customStyle="1" w:styleId="ConsPlusNonformat">
    <w:name w:val="ConsPlusNonformat"/>
    <w:rsid w:val="00AF5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F5A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F5A4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F5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6B0CE849594D1E103F38FE3B774F6033880A6AEB64B5F091D7765FEIDhFI" TargetMode="External"/><Relationship Id="rId13" Type="http://schemas.openxmlformats.org/officeDocument/2006/relationships/hyperlink" Target="consultantplus://offline/ref=BC16B0CE849594D1E103F38FE3B774F6033880A6AEB64B5F091D7765FEDF129EA5D4476E1CC083C8I5hEI" TargetMode="External"/><Relationship Id="rId18" Type="http://schemas.openxmlformats.org/officeDocument/2006/relationships/hyperlink" Target="consultantplus://offline/ref=BC16B0CE849594D1E103F38FE3B774F6033880A2A2B64B5F091D7765FEIDhF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16B0CE849594D1E103F38FE3B774F603388FACA8B04B5F091D7765FEDF129EA5D4476E1CC082C5I5hAI" TargetMode="External"/><Relationship Id="rId7" Type="http://schemas.openxmlformats.org/officeDocument/2006/relationships/hyperlink" Target="consultantplus://offline/ref=BC16B0CE849594D1E103F38FE3B774F603388FA3ACB94B5F091D7765FEDF129EA5D4476E1CC181C1I5hDI" TargetMode="External"/><Relationship Id="rId12" Type="http://schemas.openxmlformats.org/officeDocument/2006/relationships/hyperlink" Target="consultantplus://offline/ref=BC16B0CE849594D1E103F38FE3B774F6033880A6AEB64B5F091D7765FEDF129EA5D4476E1CC083C8I5hEI" TargetMode="External"/><Relationship Id="rId17" Type="http://schemas.openxmlformats.org/officeDocument/2006/relationships/hyperlink" Target="consultantplus://offline/ref=BC16B0CE849594D1E103F38FE3B774F603388FACACB14B5F091D7765FEIDhFI" TargetMode="External"/><Relationship Id="rId25" Type="http://schemas.openxmlformats.org/officeDocument/2006/relationships/hyperlink" Target="consultantplus://offline/ref=BC16B0CE849594D1E103F38FE3B774F603398DA3A3B44B5F091D7765FEIDh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16B0CE849594D1E103F38FE3B774F6033880A6AEB64B5F091D7765FEDF129EA5D4476E1CC083C8I5hEI" TargetMode="External"/><Relationship Id="rId20" Type="http://schemas.openxmlformats.org/officeDocument/2006/relationships/hyperlink" Target="consultantplus://offline/ref=BC16B0CE849594D1E103F38FE3B774F603388FACA8B04B5F091D7765FEDF129EA5D4476E1CC083C6I5h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16B0CE849594D1E103F38FE3B774F603388FA3ACB94B5F091D7765FEIDhFI" TargetMode="External"/><Relationship Id="rId11" Type="http://schemas.openxmlformats.org/officeDocument/2006/relationships/hyperlink" Target="consultantplus://offline/ref=BC16B0CE849594D1E103F38FE3B774F6033880A6AEB64B5F091D7765FEDF129EA5D4476E1CC083C8I5hEI" TargetMode="External"/><Relationship Id="rId24" Type="http://schemas.openxmlformats.org/officeDocument/2006/relationships/hyperlink" Target="consultantplus://offline/ref=BC16B0CE849594D1E103F38FE3B774F603398AA2ACB14B5F091D7765FEDF129EA5D4476E1CC080C1I5h8I" TargetMode="External"/><Relationship Id="rId5" Type="http://schemas.openxmlformats.org/officeDocument/2006/relationships/hyperlink" Target="consultantplus://offline/ref=BC16B0CE849594D1E103F38FE3B774F603388FA2AEB14B5F091D7765FEIDhFI" TargetMode="External"/><Relationship Id="rId15" Type="http://schemas.openxmlformats.org/officeDocument/2006/relationships/hyperlink" Target="consultantplus://offline/ref=BC16B0CE849594D1E103F38FE3B774F6033880A6AEB64B5F091D7765FEDF129EA5D4476E1CC083C8I5hEI" TargetMode="External"/><Relationship Id="rId23" Type="http://schemas.openxmlformats.org/officeDocument/2006/relationships/hyperlink" Target="consultantplus://offline/ref=BC16B0CE849594D1E103F38FE3B774F603398AA2ACB14B5F091D7765FEDF129EA5D4476E1CC081C7I5hBI" TargetMode="External"/><Relationship Id="rId10" Type="http://schemas.openxmlformats.org/officeDocument/2006/relationships/hyperlink" Target="consultantplus://offline/ref=BC16B0CE849594D1E103F38FE3B774F6033880A6AEB64B5F091D7765FEDF129EA5D4476E1CC083C8I5hEI" TargetMode="External"/><Relationship Id="rId19" Type="http://schemas.openxmlformats.org/officeDocument/2006/relationships/hyperlink" Target="consultantplus://offline/ref=BC16B0CE849594D1E103F38FE3B774F603388FACA8B04B5F091D7765FEDF129EA5D4476E1CC181C1I5h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16B0CE849594D1E103F38FE3B774F6033880A6AEB64B5F091D7765FEDF129EA5D4476E1CC083C8I5hEI" TargetMode="External"/><Relationship Id="rId14" Type="http://schemas.openxmlformats.org/officeDocument/2006/relationships/hyperlink" Target="consultantplus://offline/ref=BC16B0CE849594D1E103F38FE3B774F6033880A6AEB64B5F091D7765FEDF129EA5D4476E1CC083C8I5hEI" TargetMode="External"/><Relationship Id="rId22" Type="http://schemas.openxmlformats.org/officeDocument/2006/relationships/hyperlink" Target="consultantplus://offline/ref=BC16B0CE849594D1E103F38FE3B774F603318AA2A0E71C5D58487960F68F5A8EEB914A6F1CC2I8h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3757</Words>
  <Characters>21418</Characters>
  <Application>Microsoft Office Word</Application>
  <DocSecurity>0</DocSecurity>
  <Lines>178</Lines>
  <Paragraphs>50</Paragraphs>
  <ScaleCrop>false</ScaleCrop>
  <Company>1</Company>
  <LinksUpToDate>false</LinksUpToDate>
  <CharactersWithSpaces>25125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2015-10-16T08:29:00Z</dcterms:created>
  <dcterms:modified xsi:type="dcterms:W3CDTF">2015-10-16T08:30:00Z</dcterms:modified>
</cp:coreProperties>
</file>